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A59" w:rsidRDefault="006D661C">
      <w:pPr>
        <w:pStyle w:val="BodyText"/>
        <w:ind w:left="7189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2FBD543" wp14:editId="62FBD544">
            <wp:extent cx="2161515" cy="704850"/>
            <wp:effectExtent l="0" t="0" r="0" b="0"/>
            <wp:docPr id="1" name="image1.jpeg" descr="cid:image001.jpg@01CFE398.56E472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151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A59" w:rsidRDefault="00622A59">
      <w:pPr>
        <w:pStyle w:val="BodyText"/>
        <w:spacing w:before="2"/>
        <w:ind w:firstLine="0"/>
        <w:rPr>
          <w:rFonts w:ascii="Times New Roman"/>
          <w:sz w:val="21"/>
        </w:rPr>
      </w:pPr>
    </w:p>
    <w:p w:rsidR="00622A59" w:rsidRDefault="006D661C">
      <w:pPr>
        <w:pStyle w:val="Title"/>
        <w:spacing w:before="52"/>
      </w:pPr>
      <w:r>
        <w:t>JOB</w:t>
      </w:r>
      <w:r>
        <w:rPr>
          <w:spacing w:val="-1"/>
        </w:rPr>
        <w:t xml:space="preserve"> </w:t>
      </w:r>
      <w:r>
        <w:rPr>
          <w:spacing w:val="-2"/>
        </w:rPr>
        <w:t>DESCRIPTION</w:t>
      </w:r>
    </w:p>
    <w:p w:rsidR="00AF2E1D" w:rsidRDefault="00AF2E1D" w:rsidP="00AF2E1D">
      <w:pPr>
        <w:pStyle w:val="Title"/>
        <w:ind w:right="3694"/>
      </w:pPr>
      <w:r>
        <w:t>Global Mobility Manager</w:t>
      </w:r>
    </w:p>
    <w:p w:rsidR="00622A59" w:rsidRDefault="006D661C">
      <w:pPr>
        <w:pStyle w:val="Title"/>
        <w:ind w:right="3694"/>
      </w:pPr>
      <w:r>
        <w:t xml:space="preserve">Vacancy Ref: </w:t>
      </w:r>
    </w:p>
    <w:p w:rsidR="00622A59" w:rsidRDefault="00622A59">
      <w:pPr>
        <w:pStyle w:val="BodyText"/>
        <w:ind w:firstLine="0"/>
        <w:rPr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8"/>
        <w:gridCol w:w="3240"/>
      </w:tblGrid>
      <w:tr w:rsidR="00622A59">
        <w:trPr>
          <w:trHeight w:val="294"/>
        </w:trPr>
        <w:tc>
          <w:tcPr>
            <w:tcW w:w="7308" w:type="dxa"/>
          </w:tcPr>
          <w:p w:rsidR="00622A59" w:rsidRDefault="006D661C">
            <w:pPr>
              <w:pStyle w:val="TableParagraph"/>
              <w:tabs>
                <w:tab w:val="left" w:pos="1547"/>
              </w:tabs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2"/>
                <w:sz w:val="24"/>
              </w:rPr>
              <w:t xml:space="preserve"> Title:</w:t>
            </w:r>
            <w:r>
              <w:rPr>
                <w:b/>
                <w:sz w:val="24"/>
              </w:rPr>
              <w:tab/>
            </w:r>
            <w:r w:rsidR="00AF2E1D" w:rsidRPr="00AF2E1D">
              <w:rPr>
                <w:sz w:val="24"/>
              </w:rPr>
              <w:t>Global Mobility Manager</w:t>
            </w:r>
          </w:p>
        </w:tc>
        <w:tc>
          <w:tcPr>
            <w:tcW w:w="3240" w:type="dxa"/>
          </w:tcPr>
          <w:p w:rsidR="00622A59" w:rsidRDefault="006D661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Grade:</w:t>
            </w:r>
            <w:r>
              <w:rPr>
                <w:b/>
                <w:spacing w:val="53"/>
                <w:sz w:val="24"/>
              </w:rPr>
              <w:t xml:space="preserve"> </w:t>
            </w:r>
            <w:r w:rsidR="00AF2E1D" w:rsidRPr="00133E45">
              <w:rPr>
                <w:spacing w:val="-5"/>
                <w:sz w:val="24"/>
              </w:rPr>
              <w:t>8</w:t>
            </w:r>
          </w:p>
        </w:tc>
      </w:tr>
      <w:tr w:rsidR="00622A59">
        <w:trPr>
          <w:trHeight w:val="465"/>
        </w:trPr>
        <w:tc>
          <w:tcPr>
            <w:tcW w:w="10548" w:type="dxa"/>
            <w:gridSpan w:val="2"/>
          </w:tcPr>
          <w:p w:rsidR="00622A59" w:rsidRDefault="006D661C">
            <w:pPr>
              <w:pStyle w:val="TableParagraph"/>
              <w:tabs>
                <w:tab w:val="left" w:pos="1547"/>
              </w:tabs>
              <w:spacing w:before="8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Division: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Human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Resources</w:t>
            </w:r>
          </w:p>
        </w:tc>
      </w:tr>
      <w:tr w:rsidR="00622A59">
        <w:trPr>
          <w:trHeight w:val="292"/>
        </w:trPr>
        <w:tc>
          <w:tcPr>
            <w:tcW w:w="10548" w:type="dxa"/>
            <w:gridSpan w:val="2"/>
          </w:tcPr>
          <w:p w:rsidR="00622A59" w:rsidRDefault="006D661C">
            <w:pPr>
              <w:pStyle w:val="TableParagraph"/>
              <w:tabs>
                <w:tab w:val="left" w:pos="3474"/>
              </w:tabs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Accountable</w:t>
            </w:r>
            <w:r>
              <w:rPr>
                <w:b/>
                <w:spacing w:val="-5"/>
                <w:sz w:val="24"/>
              </w:rPr>
              <w:t xml:space="preserve"> to:</w:t>
            </w:r>
            <w:r>
              <w:rPr>
                <w:b/>
                <w:sz w:val="24"/>
              </w:rPr>
              <w:tab/>
            </w:r>
            <w:r w:rsidR="004B0116">
              <w:rPr>
                <w:sz w:val="24"/>
              </w:rPr>
              <w:t>Deputy</w:t>
            </w:r>
            <w:r w:rsidR="004B0116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Director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 w:rsidR="004B0116">
              <w:rPr>
                <w:sz w:val="24"/>
              </w:rPr>
              <w:t xml:space="preserve">uman </w:t>
            </w:r>
            <w:r>
              <w:rPr>
                <w:sz w:val="24"/>
              </w:rPr>
              <w:t>R</w:t>
            </w:r>
            <w:r w:rsidR="004B0116">
              <w:rPr>
                <w:sz w:val="24"/>
              </w:rPr>
              <w:t>esources</w:t>
            </w:r>
          </w:p>
        </w:tc>
      </w:tr>
      <w:tr w:rsidR="00622A59">
        <w:trPr>
          <w:trHeight w:val="294"/>
        </w:trPr>
        <w:tc>
          <w:tcPr>
            <w:tcW w:w="10548" w:type="dxa"/>
            <w:gridSpan w:val="2"/>
          </w:tcPr>
          <w:p w:rsidR="00622A59" w:rsidRDefault="006D661C">
            <w:pPr>
              <w:pStyle w:val="TableParagraph"/>
              <w:tabs>
                <w:tab w:val="left" w:pos="3707"/>
              </w:tabs>
              <w:spacing w:before="1" w:line="273" w:lineRule="exact"/>
              <w:rPr>
                <w:sz w:val="24"/>
              </w:rPr>
            </w:pPr>
            <w:r>
              <w:rPr>
                <w:b/>
                <w:sz w:val="24"/>
              </w:rPr>
              <w:t>Directly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responsible </w:t>
            </w:r>
            <w:r>
              <w:rPr>
                <w:b/>
                <w:spacing w:val="-5"/>
                <w:sz w:val="24"/>
              </w:rPr>
              <w:t>to</w:t>
            </w:r>
            <w:r w:rsidR="00753A0B">
              <w:rPr>
                <w:b/>
                <w:sz w:val="24"/>
              </w:rPr>
              <w:t xml:space="preserve">: </w:t>
            </w:r>
            <w:r w:rsidR="00F53A07">
              <w:rPr>
                <w:b/>
                <w:sz w:val="24"/>
              </w:rPr>
              <w:t xml:space="preserve">                  </w:t>
            </w:r>
            <w:r w:rsidR="00753A0B">
              <w:rPr>
                <w:sz w:val="24"/>
              </w:rPr>
              <w:t>Deputy</w:t>
            </w:r>
            <w:r w:rsidR="00753A0B">
              <w:rPr>
                <w:spacing w:val="-6"/>
                <w:sz w:val="24"/>
              </w:rPr>
              <w:t xml:space="preserve"> </w:t>
            </w:r>
            <w:r w:rsidR="00753A0B">
              <w:rPr>
                <w:sz w:val="24"/>
              </w:rPr>
              <w:t>Director</w:t>
            </w:r>
            <w:r w:rsidR="00753A0B">
              <w:rPr>
                <w:spacing w:val="-2"/>
                <w:sz w:val="24"/>
              </w:rPr>
              <w:t xml:space="preserve"> </w:t>
            </w:r>
            <w:r w:rsidR="00753A0B">
              <w:rPr>
                <w:sz w:val="24"/>
              </w:rPr>
              <w:t>of</w:t>
            </w:r>
            <w:r w:rsidR="00753A0B">
              <w:rPr>
                <w:spacing w:val="-2"/>
                <w:sz w:val="24"/>
              </w:rPr>
              <w:t xml:space="preserve"> </w:t>
            </w:r>
            <w:r w:rsidR="00753A0B">
              <w:rPr>
                <w:sz w:val="24"/>
              </w:rPr>
              <w:t>Human Resources</w:t>
            </w:r>
          </w:p>
        </w:tc>
      </w:tr>
      <w:tr w:rsidR="00133E45">
        <w:trPr>
          <w:trHeight w:val="294"/>
        </w:trPr>
        <w:tc>
          <w:tcPr>
            <w:tcW w:w="10548" w:type="dxa"/>
            <w:gridSpan w:val="2"/>
          </w:tcPr>
          <w:p w:rsidR="00133E45" w:rsidRDefault="00133E45">
            <w:pPr>
              <w:pStyle w:val="TableParagraph"/>
              <w:tabs>
                <w:tab w:val="left" w:pos="3707"/>
              </w:tabs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Direct Reports:                                  </w:t>
            </w:r>
            <w:r w:rsidRPr="00133E45">
              <w:rPr>
                <w:sz w:val="24"/>
              </w:rPr>
              <w:t>HR Administrator International</w:t>
            </w:r>
          </w:p>
        </w:tc>
      </w:tr>
      <w:tr w:rsidR="00622A59">
        <w:trPr>
          <w:trHeight w:val="460"/>
        </w:trPr>
        <w:tc>
          <w:tcPr>
            <w:tcW w:w="7308" w:type="dxa"/>
            <w:tcBorders>
              <w:bottom w:val="nil"/>
              <w:right w:val="nil"/>
            </w:tcBorders>
          </w:tcPr>
          <w:p w:rsidR="00622A59" w:rsidRDefault="006D661C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 xml:space="preserve"> contacts</w:t>
            </w:r>
          </w:p>
        </w:tc>
        <w:tc>
          <w:tcPr>
            <w:tcW w:w="3240" w:type="dxa"/>
            <w:tcBorders>
              <w:left w:val="nil"/>
              <w:bottom w:val="nil"/>
            </w:tcBorders>
          </w:tcPr>
          <w:p w:rsidR="00622A59" w:rsidRDefault="00622A5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22A59">
        <w:trPr>
          <w:trHeight w:val="1024"/>
        </w:trPr>
        <w:tc>
          <w:tcPr>
            <w:tcW w:w="10548" w:type="dxa"/>
            <w:gridSpan w:val="2"/>
            <w:tcBorders>
              <w:top w:val="nil"/>
              <w:bottom w:val="nil"/>
            </w:tcBorders>
          </w:tcPr>
          <w:p w:rsidR="00622A59" w:rsidRDefault="006D661C">
            <w:pPr>
              <w:pStyle w:val="TableParagraph"/>
              <w:spacing w:before="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Internal:</w:t>
            </w:r>
          </w:p>
          <w:p w:rsidR="00622A59" w:rsidRDefault="000F4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POE</w:t>
            </w:r>
            <w:r>
              <w:rPr>
                <w:sz w:val="24"/>
              </w:rPr>
              <w:t xml:space="preserve"> </w:t>
            </w:r>
            <w:r w:rsidR="006D661C">
              <w:rPr>
                <w:sz w:val="24"/>
              </w:rPr>
              <w:t>Leadership Team,</w:t>
            </w:r>
            <w:r w:rsidR="00A00474">
              <w:rPr>
                <w:sz w:val="24"/>
              </w:rPr>
              <w:t xml:space="preserve"> </w:t>
            </w:r>
            <w:r w:rsidR="0033392C">
              <w:rPr>
                <w:sz w:val="24"/>
              </w:rPr>
              <w:t>Finance,</w:t>
            </w:r>
            <w:r w:rsidR="006D661C">
              <w:rPr>
                <w:spacing w:val="24"/>
                <w:sz w:val="24"/>
              </w:rPr>
              <w:t xml:space="preserve"> </w:t>
            </w:r>
            <w:r w:rsidR="006D661C">
              <w:rPr>
                <w:sz w:val="24"/>
              </w:rPr>
              <w:t>HR Partners and</w:t>
            </w:r>
            <w:r w:rsidR="006D661C">
              <w:rPr>
                <w:spacing w:val="25"/>
                <w:sz w:val="24"/>
              </w:rPr>
              <w:t xml:space="preserve"> </w:t>
            </w:r>
            <w:r w:rsidR="006D661C">
              <w:rPr>
                <w:sz w:val="24"/>
              </w:rPr>
              <w:t>other</w:t>
            </w:r>
            <w:r w:rsidR="006D661C"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POE</w:t>
            </w:r>
            <w:r>
              <w:rPr>
                <w:sz w:val="24"/>
              </w:rPr>
              <w:t xml:space="preserve"> </w:t>
            </w:r>
            <w:r w:rsidR="006D661C">
              <w:rPr>
                <w:sz w:val="24"/>
              </w:rPr>
              <w:t>colleagues,</w:t>
            </w:r>
            <w:r w:rsidR="006D661C">
              <w:rPr>
                <w:spacing w:val="24"/>
                <w:sz w:val="24"/>
              </w:rPr>
              <w:t xml:space="preserve"> </w:t>
            </w:r>
            <w:r w:rsidR="006D661C">
              <w:rPr>
                <w:sz w:val="24"/>
              </w:rPr>
              <w:t>Faculty and</w:t>
            </w:r>
            <w:r w:rsidR="006D661C">
              <w:rPr>
                <w:spacing w:val="25"/>
                <w:sz w:val="24"/>
              </w:rPr>
              <w:t xml:space="preserve"> </w:t>
            </w:r>
            <w:r w:rsidR="006D661C">
              <w:rPr>
                <w:sz w:val="24"/>
              </w:rPr>
              <w:t>Divisional</w:t>
            </w:r>
            <w:r w:rsidR="006D661C">
              <w:rPr>
                <w:spacing w:val="24"/>
                <w:sz w:val="24"/>
              </w:rPr>
              <w:t xml:space="preserve"> </w:t>
            </w:r>
            <w:r w:rsidR="006D661C">
              <w:rPr>
                <w:sz w:val="24"/>
              </w:rPr>
              <w:t>Management</w:t>
            </w:r>
            <w:r w:rsidR="006D661C">
              <w:rPr>
                <w:spacing w:val="25"/>
                <w:sz w:val="24"/>
              </w:rPr>
              <w:t xml:space="preserve"> </w:t>
            </w:r>
            <w:r w:rsidR="006D661C">
              <w:rPr>
                <w:sz w:val="24"/>
              </w:rPr>
              <w:t>Teams</w:t>
            </w:r>
            <w:r w:rsidR="004634FC">
              <w:rPr>
                <w:sz w:val="24"/>
              </w:rPr>
              <w:t xml:space="preserve">, </w:t>
            </w:r>
            <w:r w:rsidR="004634FC" w:rsidRPr="004634FC">
              <w:rPr>
                <w:sz w:val="24"/>
              </w:rPr>
              <w:t>Associate Director Global Engagement</w:t>
            </w:r>
            <w:r>
              <w:rPr>
                <w:sz w:val="24"/>
              </w:rPr>
              <w:t>, Academic Deans</w:t>
            </w:r>
            <w:r w:rsidR="004634FC">
              <w:rPr>
                <w:sz w:val="24"/>
              </w:rPr>
              <w:t xml:space="preserve"> </w:t>
            </w:r>
            <w:r w:rsidR="006D661C">
              <w:rPr>
                <w:sz w:val="24"/>
              </w:rPr>
              <w:t>and other key contacts in Lancaster’s International Teaching Partnerships (ITPs)</w:t>
            </w:r>
            <w:r w:rsidR="00A00474">
              <w:rPr>
                <w:sz w:val="24"/>
              </w:rPr>
              <w:t xml:space="preserve"> and international working </w:t>
            </w:r>
          </w:p>
        </w:tc>
      </w:tr>
      <w:tr w:rsidR="00622A59">
        <w:trPr>
          <w:trHeight w:val="856"/>
        </w:trPr>
        <w:tc>
          <w:tcPr>
            <w:tcW w:w="10548" w:type="dxa"/>
            <w:gridSpan w:val="2"/>
            <w:tcBorders>
              <w:top w:val="nil"/>
            </w:tcBorders>
          </w:tcPr>
          <w:p w:rsidR="00622A59" w:rsidRDefault="006D661C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External:</w:t>
            </w:r>
          </w:p>
          <w:p w:rsidR="00622A59" w:rsidRDefault="006D6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Networks,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Advisors,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CIPD,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HEIs</w:t>
            </w:r>
          </w:p>
        </w:tc>
      </w:tr>
      <w:tr w:rsidR="00622A59">
        <w:trPr>
          <w:trHeight w:val="9071"/>
        </w:trPr>
        <w:tc>
          <w:tcPr>
            <w:tcW w:w="10548" w:type="dxa"/>
            <w:gridSpan w:val="2"/>
          </w:tcPr>
          <w:p w:rsidR="00622A59" w:rsidRDefault="006D661C">
            <w:pPr>
              <w:pStyle w:val="TableParagraph"/>
              <w:spacing w:before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2"/>
                <w:sz w:val="24"/>
              </w:rPr>
              <w:t xml:space="preserve"> Purpose:</w:t>
            </w:r>
          </w:p>
          <w:p w:rsidR="00622A59" w:rsidRDefault="00622A59">
            <w:pPr>
              <w:pStyle w:val="TableParagraph"/>
              <w:ind w:left="0"/>
              <w:rPr>
                <w:b/>
                <w:sz w:val="24"/>
              </w:rPr>
            </w:pPr>
          </w:p>
          <w:p w:rsidR="00622A59" w:rsidRDefault="006D661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As a member of the </w:t>
            </w:r>
            <w:r w:rsidR="000F4FAC">
              <w:rPr>
                <w:sz w:val="24"/>
              </w:rPr>
              <w:t>HR Operations</w:t>
            </w:r>
            <w:r>
              <w:rPr>
                <w:sz w:val="24"/>
              </w:rPr>
              <w:t xml:space="preserve"> team within the </w:t>
            </w:r>
            <w:r w:rsidR="000F4FAC">
              <w:rPr>
                <w:sz w:val="24"/>
              </w:rPr>
              <w:t>POE</w:t>
            </w:r>
            <w:r w:rsidR="000F4FAC">
              <w:rPr>
                <w:sz w:val="24"/>
              </w:rPr>
              <w:t xml:space="preserve"> </w:t>
            </w:r>
            <w:r>
              <w:rPr>
                <w:sz w:val="24"/>
              </w:rPr>
              <w:t>Division, to provide specialist advice (on issues specific to overseas working such as tax,</w:t>
            </w:r>
            <w:r w:rsidR="00161595">
              <w:rPr>
                <w:sz w:val="24"/>
              </w:rPr>
              <w:t xml:space="preserve"> social security, global </w:t>
            </w:r>
            <w:r w:rsidR="000F4FAC">
              <w:rPr>
                <w:sz w:val="24"/>
              </w:rPr>
              <w:t>mobility,</w:t>
            </w:r>
            <w:r w:rsidR="00161595">
              <w:rPr>
                <w:sz w:val="24"/>
              </w:rPr>
              <w:t xml:space="preserve"> assignment lifecycle</w:t>
            </w:r>
            <w:r>
              <w:rPr>
                <w:sz w:val="24"/>
              </w:rPr>
              <w:t>) to colleagues from across the University and its International Teaching Partnerships (ITPs).</w:t>
            </w:r>
          </w:p>
          <w:p w:rsidR="00622A59" w:rsidRDefault="00622A59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622A59" w:rsidRDefault="006D661C">
            <w:pPr>
              <w:pStyle w:val="TableParagraph"/>
              <w:spacing w:before="1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To </w:t>
            </w:r>
            <w:r w:rsidR="000F4FAC">
              <w:rPr>
                <w:sz w:val="24"/>
              </w:rPr>
              <w:t>work alongside and advise</w:t>
            </w:r>
            <w:r w:rsidR="000F4FA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the HR </w:t>
            </w:r>
            <w:r w:rsidR="00141FE2">
              <w:rPr>
                <w:sz w:val="24"/>
              </w:rPr>
              <w:t>operations team</w:t>
            </w:r>
            <w:r>
              <w:rPr>
                <w:sz w:val="24"/>
              </w:rPr>
              <w:t xml:space="preserve"> and HR Partners in the delivery of an efficient and effective International Assignment and advisory service to departments/faculties within the University with employees deployed overseas by providing first line contact on all people related issues consistent with internal processes and legal requirements.</w:t>
            </w:r>
          </w:p>
          <w:p w:rsidR="00622A59" w:rsidRDefault="00622A59">
            <w:pPr>
              <w:pStyle w:val="TableParagraph"/>
              <w:spacing w:before="9"/>
              <w:ind w:left="0"/>
              <w:rPr>
                <w:b/>
              </w:rPr>
            </w:pPr>
          </w:p>
          <w:p w:rsidR="00622A59" w:rsidRDefault="006D661C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Responsibilities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duties</w:t>
            </w:r>
          </w:p>
          <w:p w:rsidR="00622A59" w:rsidRDefault="006D661C" w:rsidP="001D1647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181"/>
              <w:rPr>
                <w:sz w:val="24"/>
              </w:rPr>
            </w:pPr>
            <w:r>
              <w:rPr>
                <w:sz w:val="24"/>
              </w:rPr>
              <w:t>Provide specialist advice to our internal customers (individual employees/assignees, Line Managers, HR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colleagues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stakeholders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 and interpretation of the University’s International Assignment Policy.</w:t>
            </w:r>
          </w:p>
          <w:p w:rsidR="0054263F" w:rsidRDefault="0054263F" w:rsidP="0054263F">
            <w:pPr>
              <w:pStyle w:val="TableParagraph"/>
              <w:tabs>
                <w:tab w:val="left" w:pos="468"/>
              </w:tabs>
              <w:spacing w:before="2"/>
              <w:ind w:left="467"/>
              <w:rPr>
                <w:sz w:val="24"/>
              </w:rPr>
            </w:pPr>
          </w:p>
          <w:p w:rsidR="0054263F" w:rsidRDefault="0054263F" w:rsidP="0054263F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Lead 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/ Global </w:t>
            </w:r>
            <w:r>
              <w:rPr>
                <w:sz w:val="24"/>
              </w:rPr>
              <w:t>mobility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deployment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review.</w:t>
            </w:r>
          </w:p>
          <w:p w:rsidR="00622A59" w:rsidRDefault="00622A59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A70108" w:rsidRDefault="000F4FAC" w:rsidP="001D1647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42" w:lineRule="auto"/>
              <w:ind w:right="379"/>
              <w:rPr>
                <w:sz w:val="24"/>
              </w:rPr>
            </w:pPr>
            <w:r>
              <w:rPr>
                <w:sz w:val="24"/>
              </w:rPr>
              <w:t xml:space="preserve">Lead specific </w:t>
            </w:r>
            <w:r w:rsidR="00A70108" w:rsidRPr="00A70108">
              <w:rPr>
                <w:sz w:val="24"/>
              </w:rPr>
              <w:t>project</w:t>
            </w:r>
            <w:r>
              <w:rPr>
                <w:sz w:val="24"/>
              </w:rPr>
              <w:t>s in relation to international HR policy and compliance</w:t>
            </w:r>
            <w:r w:rsidR="0054263F">
              <w:rPr>
                <w:sz w:val="24"/>
              </w:rPr>
              <w:t>,</w:t>
            </w:r>
            <w:r>
              <w:rPr>
                <w:sz w:val="24"/>
              </w:rPr>
              <w:t xml:space="preserve"> whilst working</w:t>
            </w:r>
            <w:r w:rsidR="00A70108" w:rsidRPr="00A70108">
              <w:rPr>
                <w:sz w:val="24"/>
              </w:rPr>
              <w:t xml:space="preserve"> collaboratively across a number of </w:t>
            </w:r>
            <w:r w:rsidR="0054263F">
              <w:rPr>
                <w:sz w:val="24"/>
              </w:rPr>
              <w:t xml:space="preserve">internal </w:t>
            </w:r>
            <w:r w:rsidR="00A70108" w:rsidRPr="00A70108">
              <w:rPr>
                <w:sz w:val="24"/>
              </w:rPr>
              <w:t xml:space="preserve">teams </w:t>
            </w:r>
            <w:r w:rsidR="0054263F">
              <w:rPr>
                <w:sz w:val="24"/>
              </w:rPr>
              <w:t xml:space="preserve">and external stakeholders </w:t>
            </w:r>
            <w:r w:rsidR="00A70108" w:rsidRPr="00A70108">
              <w:rPr>
                <w:sz w:val="24"/>
              </w:rPr>
              <w:t xml:space="preserve">to deliver </w:t>
            </w:r>
            <w:r w:rsidR="0054263F" w:rsidRPr="00A70108">
              <w:rPr>
                <w:sz w:val="24"/>
              </w:rPr>
              <w:t>overseas</w:t>
            </w:r>
            <w:r w:rsidR="0054263F" w:rsidRPr="00A70108">
              <w:rPr>
                <w:sz w:val="24"/>
              </w:rPr>
              <w:t xml:space="preserve"> </w:t>
            </w:r>
            <w:r w:rsidR="00A70108" w:rsidRPr="00A70108">
              <w:rPr>
                <w:sz w:val="24"/>
              </w:rPr>
              <w:t>solutions for the University.</w:t>
            </w:r>
          </w:p>
          <w:p w:rsidR="00A70108" w:rsidRDefault="00A70108" w:rsidP="0054263F">
            <w:pPr>
              <w:pStyle w:val="ListParagraph"/>
              <w:rPr>
                <w:sz w:val="24"/>
              </w:rPr>
            </w:pPr>
          </w:p>
          <w:p w:rsidR="00622A59" w:rsidRDefault="006D661C" w:rsidP="001D1647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42" w:lineRule="auto"/>
              <w:ind w:right="379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dedicated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enhance</w:t>
            </w:r>
            <w:r>
              <w:rPr>
                <w:spacing w:val="-4"/>
                <w:sz w:val="24"/>
              </w:rPr>
              <w:t xml:space="preserve"> </w:t>
            </w:r>
            <w:r w:rsidR="0087250F">
              <w:rPr>
                <w:spacing w:val="-4"/>
                <w:sz w:val="24"/>
              </w:rPr>
              <w:t xml:space="preserve">Lancaster’s international </w:t>
            </w:r>
            <w:r>
              <w:rPr>
                <w:sz w:val="24"/>
              </w:rPr>
              <w:t>employee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mobility.</w:t>
            </w:r>
          </w:p>
          <w:p w:rsidR="00622A59" w:rsidRDefault="00622A5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622A59" w:rsidRDefault="006D661C" w:rsidP="001D1647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/>
              <w:ind w:right="286"/>
              <w:rPr>
                <w:sz w:val="24"/>
              </w:rPr>
            </w:pPr>
            <w:r>
              <w:rPr>
                <w:sz w:val="24"/>
              </w:rPr>
              <w:t>Support and participate in the development of key internal and external stakeholder relationships (e.g.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Tax,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Visas,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Accounting,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Organisational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Recruitment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Reward) to achieve the efficient and compliant deployment of Lancaster University employees by effectively liaising across such functional teams/external experts.</w:t>
            </w:r>
          </w:p>
          <w:p w:rsidR="00622A59" w:rsidRDefault="00622A59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622A59" w:rsidRDefault="006D661C" w:rsidP="001D1647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Assignment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Cycle,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including:</w:t>
            </w:r>
          </w:p>
          <w:p w:rsidR="00622A59" w:rsidRDefault="00622A59">
            <w:pPr>
              <w:pStyle w:val="TableParagraph"/>
              <w:spacing w:before="12"/>
              <w:ind w:left="0"/>
              <w:rPr>
                <w:b/>
                <w:sz w:val="23"/>
              </w:rPr>
            </w:pPr>
          </w:p>
          <w:p w:rsidR="003110AB" w:rsidRPr="0054263F" w:rsidRDefault="006D661C" w:rsidP="001D1647">
            <w:pPr>
              <w:pStyle w:val="TableParagraph"/>
              <w:numPr>
                <w:ilvl w:val="1"/>
                <w:numId w:val="3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Overseeing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campaigns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deployment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countries</w:t>
            </w:r>
          </w:p>
          <w:p w:rsidR="00622A59" w:rsidRPr="00940296" w:rsidRDefault="00940296" w:rsidP="0054263F">
            <w:pPr>
              <w:pStyle w:val="TableParagraph"/>
              <w:numPr>
                <w:ilvl w:val="1"/>
                <w:numId w:val="3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D</w:t>
            </w:r>
            <w:r w:rsidR="003110AB">
              <w:rPr>
                <w:spacing w:val="-2"/>
                <w:sz w:val="24"/>
              </w:rPr>
              <w:t>elivering pre</w:t>
            </w:r>
            <w:r w:rsidR="0054263F">
              <w:rPr>
                <w:spacing w:val="-2"/>
                <w:sz w:val="24"/>
              </w:rPr>
              <w:t>-</w:t>
            </w:r>
            <w:r w:rsidR="003110AB">
              <w:rPr>
                <w:spacing w:val="-2"/>
                <w:sz w:val="24"/>
              </w:rPr>
              <w:t xml:space="preserve">assignment </w:t>
            </w:r>
            <w:r>
              <w:rPr>
                <w:spacing w:val="-2"/>
                <w:sz w:val="24"/>
              </w:rPr>
              <w:t>briefings</w:t>
            </w:r>
          </w:p>
          <w:p w:rsidR="00622A59" w:rsidRPr="0054263F" w:rsidRDefault="006D661C" w:rsidP="001D1647">
            <w:pPr>
              <w:pStyle w:val="TableParagraph"/>
              <w:numPr>
                <w:ilvl w:val="1"/>
                <w:numId w:val="3"/>
              </w:numPr>
              <w:tabs>
                <w:tab w:val="left" w:pos="827"/>
                <w:tab w:val="left" w:pos="82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Preparing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assignment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projections</w:t>
            </w:r>
          </w:p>
          <w:p w:rsidR="00E22F4C" w:rsidRDefault="00E22F4C" w:rsidP="0054263F">
            <w:pPr>
              <w:pStyle w:val="TableParagraph"/>
              <w:numPr>
                <w:ilvl w:val="1"/>
                <w:numId w:val="3"/>
              </w:numPr>
              <w:tabs>
                <w:tab w:val="left" w:pos="827"/>
                <w:tab w:val="left" w:pos="82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Conducting</w:t>
            </w:r>
            <w:r w:rsidRPr="0054263F">
              <w:rPr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 w:rsidRPr="0054263F">
              <w:rPr>
                <w:sz w:val="24"/>
              </w:rPr>
              <w:t xml:space="preserve"> assessments</w:t>
            </w:r>
          </w:p>
          <w:p w:rsidR="00E22F4C" w:rsidRDefault="00E22F4C" w:rsidP="0054263F">
            <w:pPr>
              <w:pStyle w:val="TableParagraph"/>
              <w:numPr>
                <w:ilvl w:val="1"/>
                <w:numId w:val="3"/>
              </w:numPr>
              <w:tabs>
                <w:tab w:val="left" w:pos="827"/>
                <w:tab w:val="left" w:pos="82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Day</w:t>
            </w:r>
            <w:r w:rsidRPr="0054263F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Pr="0054263F">
              <w:rPr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 w:rsidRPr="0054263F">
              <w:rPr>
                <w:sz w:val="24"/>
              </w:rPr>
              <w:t xml:space="preserve"> </w:t>
            </w:r>
            <w:r>
              <w:rPr>
                <w:sz w:val="24"/>
              </w:rPr>
              <w:t>liaising</w:t>
            </w:r>
            <w:r w:rsidRPr="0054263F">
              <w:rPr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 w:rsidRPr="0054263F"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Pr="0054263F">
              <w:rPr>
                <w:sz w:val="24"/>
              </w:rPr>
              <w:t xml:space="preserve">rd </w:t>
            </w:r>
            <w:r>
              <w:rPr>
                <w:sz w:val="24"/>
              </w:rPr>
              <w:t>party</w:t>
            </w:r>
            <w:r w:rsidRPr="0054263F">
              <w:rPr>
                <w:sz w:val="24"/>
              </w:rPr>
              <w:t xml:space="preserve"> </w:t>
            </w:r>
            <w:r>
              <w:rPr>
                <w:sz w:val="24"/>
              </w:rPr>
              <w:t>suppliers</w:t>
            </w:r>
            <w:r w:rsidRPr="0054263F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Pr="0054263F">
              <w:rPr>
                <w:sz w:val="24"/>
              </w:rPr>
              <w:t xml:space="preserve"> </w:t>
            </w:r>
            <w:r>
              <w:rPr>
                <w:sz w:val="24"/>
              </w:rPr>
              <w:t>immigration,</w:t>
            </w:r>
            <w:r w:rsidRPr="0054263F">
              <w:rPr>
                <w:sz w:val="24"/>
              </w:rPr>
              <w:t xml:space="preserve"> </w:t>
            </w:r>
            <w:r>
              <w:rPr>
                <w:sz w:val="24"/>
              </w:rPr>
              <w:t>relocation</w:t>
            </w:r>
            <w:r w:rsidRPr="0054263F">
              <w:rPr>
                <w:sz w:val="24"/>
              </w:rPr>
              <w:t xml:space="preserve"> </w:t>
            </w:r>
            <w:r>
              <w:rPr>
                <w:sz w:val="24"/>
              </w:rPr>
              <w:t>and taxation</w:t>
            </w:r>
            <w:r w:rsidRPr="0054263F">
              <w:rPr>
                <w:sz w:val="24"/>
              </w:rPr>
              <w:t xml:space="preserve"> support</w:t>
            </w:r>
          </w:p>
          <w:p w:rsidR="00E22F4C" w:rsidRDefault="00E22F4C" w:rsidP="0054263F">
            <w:pPr>
              <w:pStyle w:val="TableParagraph"/>
              <w:numPr>
                <w:ilvl w:val="1"/>
                <w:numId w:val="3"/>
              </w:numPr>
              <w:tabs>
                <w:tab w:val="left" w:pos="827"/>
                <w:tab w:val="left" w:pos="82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Conducting</w:t>
            </w:r>
            <w:r w:rsidRPr="0054263F">
              <w:rPr>
                <w:sz w:val="24"/>
              </w:rPr>
              <w:t xml:space="preserve"> </w:t>
            </w:r>
            <w:r>
              <w:rPr>
                <w:sz w:val="24"/>
              </w:rPr>
              <w:t>assignee</w:t>
            </w:r>
            <w:r w:rsidRPr="0054263F">
              <w:rPr>
                <w:sz w:val="24"/>
              </w:rPr>
              <w:t xml:space="preserve"> </w:t>
            </w:r>
            <w:r>
              <w:rPr>
                <w:sz w:val="24"/>
              </w:rPr>
              <w:t>briefings</w:t>
            </w:r>
            <w:r w:rsidRPr="0054263F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Pr="0054263F">
              <w:rPr>
                <w:sz w:val="24"/>
              </w:rPr>
              <w:t xml:space="preserve"> </w:t>
            </w:r>
            <w:r>
              <w:rPr>
                <w:sz w:val="24"/>
              </w:rPr>
              <w:t>detail</w:t>
            </w:r>
            <w:r w:rsidRPr="0054263F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54263F">
              <w:rPr>
                <w:sz w:val="24"/>
              </w:rPr>
              <w:t xml:space="preserve"> </w:t>
            </w:r>
            <w:r>
              <w:rPr>
                <w:sz w:val="24"/>
              </w:rPr>
              <w:t>assignment</w:t>
            </w:r>
            <w:r w:rsidRPr="0054263F">
              <w:rPr>
                <w:sz w:val="24"/>
              </w:rPr>
              <w:t xml:space="preserve"> </w:t>
            </w:r>
            <w:r>
              <w:rPr>
                <w:sz w:val="24"/>
              </w:rPr>
              <w:t>package and</w:t>
            </w:r>
            <w:r w:rsidRPr="0054263F">
              <w:rPr>
                <w:sz w:val="24"/>
              </w:rPr>
              <w:t xml:space="preserve"> process</w:t>
            </w:r>
          </w:p>
          <w:p w:rsidR="00E22F4C" w:rsidRDefault="00E22F4C" w:rsidP="0054263F">
            <w:pPr>
              <w:pStyle w:val="TableParagraph"/>
              <w:numPr>
                <w:ilvl w:val="1"/>
                <w:numId w:val="3"/>
              </w:numPr>
              <w:tabs>
                <w:tab w:val="left" w:pos="827"/>
                <w:tab w:val="left" w:pos="82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Conducting</w:t>
            </w:r>
            <w:r w:rsidRPr="0054263F">
              <w:rPr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 w:rsidRPr="0054263F">
              <w:rPr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  <w:r w:rsidRPr="0054263F">
              <w:rPr>
                <w:sz w:val="24"/>
              </w:rPr>
              <w:t xml:space="preserve"> </w:t>
            </w:r>
            <w:r>
              <w:rPr>
                <w:sz w:val="24"/>
              </w:rPr>
              <w:t>briefings</w:t>
            </w:r>
            <w:r w:rsidRPr="0054263F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Pr="0054263F">
              <w:rPr>
                <w:sz w:val="24"/>
              </w:rPr>
              <w:t xml:space="preserve"> </w:t>
            </w:r>
            <w:r>
              <w:rPr>
                <w:sz w:val="24"/>
              </w:rPr>
              <w:t>detail</w:t>
            </w:r>
            <w:r w:rsidRPr="0054263F">
              <w:rPr>
                <w:sz w:val="24"/>
              </w:rPr>
              <w:t xml:space="preserve"> </w:t>
            </w:r>
            <w:r>
              <w:rPr>
                <w:sz w:val="24"/>
              </w:rPr>
              <w:t>the assignment support</w:t>
            </w:r>
            <w:r w:rsidRPr="0054263F">
              <w:rPr>
                <w:sz w:val="24"/>
              </w:rPr>
              <w:t xml:space="preserve"> arrangements</w:t>
            </w:r>
          </w:p>
          <w:p w:rsidR="00E22F4C" w:rsidRDefault="00E22F4C" w:rsidP="0054263F">
            <w:pPr>
              <w:pStyle w:val="TableParagraph"/>
              <w:numPr>
                <w:ilvl w:val="1"/>
                <w:numId w:val="3"/>
              </w:numPr>
              <w:tabs>
                <w:tab w:val="left" w:pos="827"/>
                <w:tab w:val="left" w:pos="82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Preparing</w:t>
            </w:r>
            <w:r w:rsidRPr="0054263F">
              <w:rPr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 w:rsidRPr="0054263F">
              <w:rPr>
                <w:sz w:val="24"/>
              </w:rPr>
              <w:t xml:space="preserve"> </w:t>
            </w:r>
            <w:r>
              <w:rPr>
                <w:sz w:val="24"/>
              </w:rPr>
              <w:t>relocation/international</w:t>
            </w:r>
            <w:r w:rsidRPr="0054263F">
              <w:rPr>
                <w:sz w:val="24"/>
              </w:rPr>
              <w:t xml:space="preserve"> </w:t>
            </w:r>
            <w:r>
              <w:rPr>
                <w:sz w:val="24"/>
              </w:rPr>
              <w:t>assignment</w:t>
            </w:r>
            <w:r w:rsidRPr="0054263F">
              <w:rPr>
                <w:sz w:val="24"/>
              </w:rPr>
              <w:t xml:space="preserve"> </w:t>
            </w:r>
            <w:r>
              <w:rPr>
                <w:sz w:val="24"/>
              </w:rPr>
              <w:t>packages</w:t>
            </w:r>
            <w:r w:rsidRPr="0054263F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54263F">
              <w:rPr>
                <w:sz w:val="24"/>
              </w:rPr>
              <w:t xml:space="preserve"> </w:t>
            </w:r>
            <w:r>
              <w:rPr>
                <w:sz w:val="24"/>
              </w:rPr>
              <w:t>liaising</w:t>
            </w:r>
            <w:r w:rsidRPr="0054263F">
              <w:rPr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 w:rsidRPr="0054263F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54263F">
              <w:rPr>
                <w:sz w:val="24"/>
              </w:rPr>
              <w:t xml:space="preserve"> </w:t>
            </w:r>
            <w:r>
              <w:rPr>
                <w:sz w:val="24"/>
              </w:rPr>
              <w:t>internal teams and external experts on assignee related matters</w:t>
            </w:r>
          </w:p>
          <w:p w:rsidR="00E22F4C" w:rsidRDefault="00E22F4C" w:rsidP="00E22F4C">
            <w:pPr>
              <w:pStyle w:val="BodyText"/>
              <w:spacing w:before="12"/>
              <w:ind w:firstLine="0"/>
              <w:rPr>
                <w:sz w:val="23"/>
              </w:rPr>
            </w:pPr>
          </w:p>
          <w:p w:rsidR="00E22F4C" w:rsidRDefault="00E22F4C" w:rsidP="00E22F4C">
            <w:pPr>
              <w:pStyle w:val="BodyText"/>
              <w:spacing w:before="11"/>
              <w:ind w:firstLine="0"/>
              <w:rPr>
                <w:sz w:val="23"/>
              </w:rPr>
            </w:pPr>
          </w:p>
          <w:p w:rsidR="00E22F4C" w:rsidRDefault="00E22F4C" w:rsidP="00E22F4C">
            <w:pPr>
              <w:pStyle w:val="ListParagraph"/>
              <w:numPr>
                <w:ilvl w:val="0"/>
                <w:numId w:val="1"/>
              </w:numPr>
              <w:tabs>
                <w:tab w:val="left" w:pos="588"/>
              </w:tabs>
              <w:spacing w:before="1"/>
              <w:ind w:right="250"/>
              <w:rPr>
                <w:sz w:val="24"/>
              </w:rPr>
            </w:pPr>
            <w:r>
              <w:rPr>
                <w:sz w:val="24"/>
              </w:rPr>
              <w:t>Attend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Committees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specialist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 w:rsidR="0087250F">
              <w:rPr>
                <w:sz w:val="24"/>
              </w:rPr>
              <w:t xml:space="preserve">input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support, ensuring that any follow up actions are delivered and implemented.</w:t>
            </w:r>
          </w:p>
          <w:p w:rsidR="00E22F4C" w:rsidRDefault="00E22F4C" w:rsidP="00E22F4C">
            <w:pPr>
              <w:pStyle w:val="BodyText"/>
              <w:spacing w:before="1"/>
              <w:ind w:firstLine="0"/>
            </w:pPr>
          </w:p>
          <w:p w:rsidR="001D7A3A" w:rsidRPr="0054263F" w:rsidRDefault="00E22F4C" w:rsidP="0054263F">
            <w:pPr>
              <w:pStyle w:val="ListParagraph"/>
              <w:numPr>
                <w:ilvl w:val="0"/>
                <w:numId w:val="1"/>
              </w:numPr>
              <w:tabs>
                <w:tab w:val="left" w:pos="588"/>
              </w:tabs>
              <w:ind w:right="86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Partners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colleagues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 improvements to HR processes and procedures as required.</w:t>
            </w:r>
          </w:p>
          <w:p w:rsidR="00F279C3" w:rsidRPr="0054263F" w:rsidRDefault="00F279C3" w:rsidP="0054263F">
            <w:pPr>
              <w:pStyle w:val="TableParagraph"/>
              <w:tabs>
                <w:tab w:val="left" w:pos="827"/>
                <w:tab w:val="left" w:pos="828"/>
              </w:tabs>
              <w:spacing w:line="275" w:lineRule="exact"/>
              <w:ind w:left="827"/>
              <w:rPr>
                <w:sz w:val="24"/>
              </w:rPr>
            </w:pPr>
          </w:p>
          <w:p w:rsidR="00F279C3" w:rsidRPr="0054263F" w:rsidRDefault="0054263F" w:rsidP="0054263F">
            <w:pPr>
              <w:pStyle w:val="ListParagraph"/>
              <w:numPr>
                <w:ilvl w:val="0"/>
                <w:numId w:val="1"/>
              </w:numPr>
              <w:tabs>
                <w:tab w:val="left" w:pos="588"/>
              </w:tabs>
              <w:ind w:right="86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Oversight of</w:t>
            </w:r>
            <w:r w:rsidR="00F279C3" w:rsidRPr="0054263F">
              <w:rPr>
                <w:sz w:val="24"/>
                <w:szCs w:val="24"/>
              </w:rPr>
              <w:t xml:space="preserve"> the delivery of University international payrolls to ensure staff are paid on time; including the delivery of fiscal data to third party administrators required to meet overseas payroll provision, regulations, and staff payments; </w:t>
            </w:r>
          </w:p>
          <w:p w:rsidR="00E7138C" w:rsidRPr="009E3260" w:rsidRDefault="00E7138C" w:rsidP="0054263F">
            <w:pPr>
              <w:pStyle w:val="BodyText1"/>
              <w:tabs>
                <w:tab w:val="clear" w:pos="576"/>
                <w:tab w:val="left" w:pos="709"/>
                <w:tab w:val="left" w:pos="4035"/>
              </w:tabs>
              <w:ind w:left="467"/>
              <w:jc w:val="left"/>
            </w:pPr>
          </w:p>
          <w:p w:rsidR="00F279C3" w:rsidRPr="0054263F" w:rsidRDefault="00F279C3" w:rsidP="0054263F">
            <w:pPr>
              <w:pStyle w:val="ListParagraph"/>
              <w:numPr>
                <w:ilvl w:val="0"/>
                <w:numId w:val="1"/>
              </w:numPr>
              <w:tabs>
                <w:tab w:val="left" w:pos="588"/>
              </w:tabs>
              <w:ind w:right="868"/>
              <w:rPr>
                <w:sz w:val="24"/>
              </w:rPr>
            </w:pPr>
            <w:r w:rsidRPr="0054263F">
              <w:rPr>
                <w:sz w:val="24"/>
              </w:rPr>
              <w:t>Develop procedures and project manage necessary actions on international cases through to completion, documenting decisions made and identifying responsibilities for actions needed.</w:t>
            </w:r>
          </w:p>
          <w:p w:rsidR="00610783" w:rsidRPr="0054263F" w:rsidRDefault="00610783" w:rsidP="0054263F">
            <w:pPr>
              <w:pStyle w:val="ListParagraph"/>
              <w:tabs>
                <w:tab w:val="left" w:pos="588"/>
              </w:tabs>
              <w:ind w:right="868" w:firstLine="0"/>
              <w:rPr>
                <w:sz w:val="24"/>
              </w:rPr>
            </w:pPr>
          </w:p>
          <w:p w:rsidR="00610783" w:rsidRPr="0054263F" w:rsidRDefault="00610783" w:rsidP="0054263F">
            <w:pPr>
              <w:pStyle w:val="ListParagraph"/>
              <w:numPr>
                <w:ilvl w:val="0"/>
                <w:numId w:val="1"/>
              </w:numPr>
              <w:tabs>
                <w:tab w:val="left" w:pos="588"/>
              </w:tabs>
              <w:ind w:right="868"/>
              <w:rPr>
                <w:sz w:val="24"/>
              </w:rPr>
            </w:pPr>
            <w:r w:rsidRPr="0054263F">
              <w:rPr>
                <w:sz w:val="24"/>
              </w:rPr>
              <w:t>Review new international mobility cases; provide innovative options for managing employment tax risks for agreement with Head of Tax and Head of Payroll; and project manage the delivery of the agreed solutions.</w:t>
            </w:r>
          </w:p>
          <w:p w:rsidR="00464EC7" w:rsidRPr="0054263F" w:rsidRDefault="00464EC7" w:rsidP="0054263F">
            <w:pPr>
              <w:pStyle w:val="ListParagraph"/>
              <w:tabs>
                <w:tab w:val="left" w:pos="588"/>
              </w:tabs>
              <w:ind w:right="868" w:firstLine="0"/>
              <w:rPr>
                <w:sz w:val="24"/>
              </w:rPr>
            </w:pPr>
          </w:p>
          <w:p w:rsidR="00464EC7" w:rsidRPr="0054263F" w:rsidRDefault="00464EC7" w:rsidP="0054263F">
            <w:pPr>
              <w:pStyle w:val="ListParagraph"/>
              <w:numPr>
                <w:ilvl w:val="0"/>
                <w:numId w:val="1"/>
              </w:numPr>
              <w:tabs>
                <w:tab w:val="left" w:pos="588"/>
              </w:tabs>
              <w:ind w:right="868"/>
              <w:rPr>
                <w:sz w:val="24"/>
              </w:rPr>
            </w:pPr>
            <w:r w:rsidRPr="0054263F">
              <w:rPr>
                <w:sz w:val="24"/>
              </w:rPr>
              <w:t>Communicate international mobility work priorities and monitor progress to ensure monthly and annual tasks are completed within payroll, international payroll and financial period end deadlines.</w:t>
            </w:r>
          </w:p>
          <w:p w:rsidR="00464EC7" w:rsidRPr="0054263F" w:rsidRDefault="00464EC7" w:rsidP="0054263F">
            <w:pPr>
              <w:pStyle w:val="ListParagraph"/>
              <w:tabs>
                <w:tab w:val="left" w:pos="588"/>
              </w:tabs>
              <w:ind w:right="868" w:firstLine="0"/>
              <w:rPr>
                <w:sz w:val="24"/>
              </w:rPr>
            </w:pPr>
          </w:p>
          <w:p w:rsidR="00464EC7" w:rsidRPr="0054263F" w:rsidRDefault="00464EC7" w:rsidP="0054263F">
            <w:pPr>
              <w:pStyle w:val="ListParagraph"/>
              <w:numPr>
                <w:ilvl w:val="0"/>
                <w:numId w:val="1"/>
              </w:numPr>
              <w:tabs>
                <w:tab w:val="left" w:pos="588"/>
              </w:tabs>
              <w:ind w:right="868"/>
              <w:rPr>
                <w:sz w:val="24"/>
              </w:rPr>
            </w:pPr>
            <w:r w:rsidRPr="0054263F">
              <w:rPr>
                <w:sz w:val="24"/>
              </w:rPr>
              <w:t xml:space="preserve">Ensure the appropriate level of customer service </w:t>
            </w:r>
            <w:r w:rsidR="0054263F">
              <w:rPr>
                <w:sz w:val="24"/>
              </w:rPr>
              <w:t xml:space="preserve">and </w:t>
            </w:r>
            <w:r w:rsidRPr="0054263F">
              <w:rPr>
                <w:sz w:val="24"/>
              </w:rPr>
              <w:t>support</w:t>
            </w:r>
            <w:r w:rsidR="0054263F">
              <w:rPr>
                <w:sz w:val="24"/>
              </w:rPr>
              <w:t xml:space="preserve"> to</w:t>
            </w:r>
            <w:r w:rsidRPr="0054263F">
              <w:rPr>
                <w:sz w:val="24"/>
              </w:rPr>
              <w:t xml:space="preserve"> </w:t>
            </w:r>
            <w:r w:rsidR="0054263F">
              <w:rPr>
                <w:sz w:val="24"/>
              </w:rPr>
              <w:t xml:space="preserve">international employee </w:t>
            </w:r>
            <w:r w:rsidRPr="0054263F">
              <w:rPr>
                <w:sz w:val="24"/>
              </w:rPr>
              <w:t>enquiries</w:t>
            </w:r>
            <w:r w:rsidR="0054263F">
              <w:rPr>
                <w:sz w:val="24"/>
              </w:rPr>
              <w:t>.</w:t>
            </w:r>
          </w:p>
          <w:p w:rsidR="001D1647" w:rsidRDefault="001D1647" w:rsidP="0054263F">
            <w:pPr>
              <w:pStyle w:val="ListParagraph"/>
            </w:pPr>
          </w:p>
          <w:p w:rsidR="001D1647" w:rsidRDefault="001D1647" w:rsidP="0054263F">
            <w:pPr>
              <w:pStyle w:val="ListParagraph"/>
              <w:numPr>
                <w:ilvl w:val="0"/>
                <w:numId w:val="1"/>
              </w:numPr>
              <w:tabs>
                <w:tab w:val="left" w:pos="588"/>
              </w:tabs>
              <w:ind w:right="868"/>
              <w:rPr>
                <w:sz w:val="24"/>
              </w:rPr>
            </w:pPr>
            <w:r>
              <w:rPr>
                <w:sz w:val="24"/>
              </w:rPr>
              <w:t>Support</w:t>
            </w:r>
            <w:r w:rsidRPr="0054263F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54263F">
              <w:rPr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 w:rsidRPr="0054263F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54263F">
              <w:rPr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 w:rsidRPr="0054263F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54263F">
              <w:rPr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 w:rsidRPr="0054263F">
              <w:rPr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 w:rsidRPr="0054263F">
              <w:rPr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 w:rsidRPr="0054263F">
              <w:rPr>
                <w:sz w:val="24"/>
              </w:rPr>
              <w:t xml:space="preserve"> </w:t>
            </w:r>
            <w:r>
              <w:rPr>
                <w:sz w:val="24"/>
              </w:rPr>
              <w:t>accurate</w:t>
            </w:r>
            <w:r w:rsidRPr="0054263F">
              <w:rPr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 w:rsidRPr="0054263F">
              <w:rPr>
                <w:sz w:val="24"/>
              </w:rPr>
              <w:t xml:space="preserve"> </w:t>
            </w:r>
            <w:r>
              <w:rPr>
                <w:sz w:val="24"/>
              </w:rPr>
              <w:t>of the number of employees working overseas and the early detection of risk and ensure the University fulfils its duty of care to staff working overseas.</w:t>
            </w:r>
          </w:p>
          <w:p w:rsidR="000F21CC" w:rsidRPr="0054263F" w:rsidRDefault="000F21CC" w:rsidP="0054263F">
            <w:pPr>
              <w:pStyle w:val="ListParagraph"/>
              <w:rPr>
                <w:sz w:val="24"/>
              </w:rPr>
            </w:pPr>
          </w:p>
          <w:p w:rsidR="001D1647" w:rsidRDefault="001D1647" w:rsidP="0054263F">
            <w:pPr>
              <w:pStyle w:val="ListParagraph"/>
              <w:numPr>
                <w:ilvl w:val="0"/>
                <w:numId w:val="1"/>
              </w:numPr>
              <w:tabs>
                <w:tab w:val="left" w:pos="588"/>
              </w:tabs>
              <w:ind w:right="868"/>
              <w:rPr>
                <w:sz w:val="24"/>
              </w:rPr>
            </w:pPr>
            <w:r>
              <w:rPr>
                <w:sz w:val="24"/>
              </w:rPr>
              <w:t>Support</w:t>
            </w:r>
            <w:r w:rsidRPr="0054263F">
              <w:rPr>
                <w:sz w:val="24"/>
              </w:rPr>
              <w:t xml:space="preserve"> </w:t>
            </w:r>
            <w:r>
              <w:rPr>
                <w:sz w:val="24"/>
              </w:rPr>
              <w:t>HR</w:t>
            </w:r>
            <w:r w:rsidRPr="0054263F">
              <w:rPr>
                <w:sz w:val="24"/>
              </w:rPr>
              <w:t xml:space="preserve"> </w:t>
            </w:r>
            <w:r>
              <w:rPr>
                <w:sz w:val="24"/>
              </w:rPr>
              <w:t>Partnering</w:t>
            </w:r>
            <w:r w:rsidRPr="0054263F">
              <w:rPr>
                <w:sz w:val="24"/>
              </w:rPr>
              <w:t xml:space="preserve"> </w:t>
            </w:r>
            <w:r>
              <w:rPr>
                <w:sz w:val="24"/>
              </w:rPr>
              <w:t>colleagues</w:t>
            </w:r>
            <w:r w:rsidRPr="0054263F">
              <w:rPr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 w:rsidRPr="0054263F">
              <w:rPr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 w:rsidRPr="0054263F">
              <w:rPr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 w:rsidRPr="0054263F">
              <w:rPr>
                <w:sz w:val="24"/>
              </w:rPr>
              <w:t xml:space="preserve"> </w:t>
            </w:r>
            <w:r>
              <w:rPr>
                <w:sz w:val="24"/>
              </w:rPr>
              <w:t>exploring/implementing international ventures.</w:t>
            </w:r>
          </w:p>
          <w:p w:rsidR="00E7138C" w:rsidRPr="0054263F" w:rsidRDefault="00E7138C" w:rsidP="0054263F">
            <w:pPr>
              <w:pStyle w:val="ListParagraph"/>
              <w:tabs>
                <w:tab w:val="left" w:pos="588"/>
              </w:tabs>
              <w:ind w:right="868" w:firstLine="0"/>
              <w:rPr>
                <w:sz w:val="24"/>
              </w:rPr>
            </w:pPr>
          </w:p>
          <w:p w:rsidR="00464EC7" w:rsidRPr="0054263F" w:rsidRDefault="00464EC7" w:rsidP="0054263F">
            <w:pPr>
              <w:pStyle w:val="ListParagraph"/>
              <w:numPr>
                <w:ilvl w:val="0"/>
                <w:numId w:val="1"/>
              </w:numPr>
              <w:tabs>
                <w:tab w:val="left" w:pos="588"/>
              </w:tabs>
              <w:ind w:right="868"/>
              <w:rPr>
                <w:sz w:val="24"/>
              </w:rPr>
            </w:pPr>
            <w:r w:rsidRPr="0054263F">
              <w:rPr>
                <w:sz w:val="24"/>
              </w:rPr>
              <w:t>Any other duties, commensurate with the grade of the post.</w:t>
            </w:r>
          </w:p>
          <w:p w:rsidR="00464EC7" w:rsidRPr="009E3260" w:rsidRDefault="00464EC7" w:rsidP="0054263F">
            <w:pPr>
              <w:pStyle w:val="BodyText1"/>
              <w:tabs>
                <w:tab w:val="clear" w:pos="576"/>
                <w:tab w:val="left" w:pos="709"/>
                <w:tab w:val="left" w:pos="4035"/>
              </w:tabs>
              <w:ind w:left="467"/>
              <w:jc w:val="left"/>
            </w:pPr>
          </w:p>
          <w:p w:rsidR="008B5A01" w:rsidRDefault="008B5A01" w:rsidP="0054263F">
            <w:pPr>
              <w:pStyle w:val="TableParagraph"/>
              <w:tabs>
                <w:tab w:val="left" w:pos="827"/>
                <w:tab w:val="left" w:pos="828"/>
              </w:tabs>
              <w:spacing w:line="275" w:lineRule="exact"/>
              <w:rPr>
                <w:sz w:val="24"/>
              </w:rPr>
            </w:pPr>
          </w:p>
        </w:tc>
      </w:tr>
    </w:tbl>
    <w:p w:rsidR="00622A59" w:rsidRDefault="00622A59">
      <w:pPr>
        <w:spacing w:line="275" w:lineRule="exact"/>
        <w:rPr>
          <w:sz w:val="24"/>
        </w:rPr>
        <w:sectPr w:rsidR="00622A59">
          <w:type w:val="continuous"/>
          <w:pgSz w:w="11910" w:h="16840"/>
          <w:pgMar w:top="560" w:right="520" w:bottom="280" w:left="600" w:header="720" w:footer="720" w:gutter="0"/>
          <w:cols w:space="720"/>
        </w:sectPr>
      </w:pPr>
    </w:p>
    <w:p w:rsidR="00622A59" w:rsidRDefault="00622A59">
      <w:pPr>
        <w:pStyle w:val="BodyText"/>
        <w:spacing w:before="11"/>
        <w:ind w:firstLine="0"/>
        <w:rPr>
          <w:sz w:val="23"/>
        </w:rPr>
      </w:pPr>
    </w:p>
    <w:p w:rsidR="00622A59" w:rsidRPr="00C70D4A" w:rsidRDefault="00622A59">
      <w:pPr>
        <w:tabs>
          <w:tab w:val="left" w:pos="588"/>
        </w:tabs>
        <w:spacing w:before="1"/>
        <w:rPr>
          <w:sz w:val="24"/>
          <w:rPrChange w:id="0" w:author="Connor, Sean" w:date="2023-04-13T21:02:00Z">
            <w:rPr/>
          </w:rPrChange>
        </w:rPr>
        <w:pPrChange w:id="1" w:author="Connor, Sean" w:date="2023-04-13T21:02:00Z">
          <w:pPr>
            <w:pStyle w:val="ListParagraph"/>
            <w:numPr>
              <w:numId w:val="1"/>
            </w:numPr>
            <w:tabs>
              <w:tab w:val="left" w:pos="588"/>
            </w:tabs>
            <w:spacing w:before="1"/>
            <w:ind w:hanging="361"/>
          </w:pPr>
        </w:pPrChange>
      </w:pPr>
    </w:p>
    <w:sectPr w:rsidR="00622A59" w:rsidRPr="00C70D4A">
      <w:pgSz w:w="11910" w:h="16840"/>
      <w:pgMar w:top="540" w:right="5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413C7"/>
    <w:multiLevelType w:val="hybridMultilevel"/>
    <w:tmpl w:val="B8343356"/>
    <w:lvl w:ilvl="0" w:tplc="F6EEC534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54A41C0">
      <w:numFmt w:val="bullet"/>
      <w:lvlText w:val="•"/>
      <w:lvlJc w:val="left"/>
      <w:pPr>
        <w:ind w:left="1428" w:hanging="360"/>
      </w:pPr>
      <w:rPr>
        <w:lang w:val="en-US" w:eastAsia="en-US" w:bidi="ar-SA"/>
      </w:rPr>
    </w:lvl>
    <w:lvl w:ilvl="2" w:tplc="B15A3F7A">
      <w:numFmt w:val="bullet"/>
      <w:lvlText w:val="•"/>
      <w:lvlJc w:val="left"/>
      <w:pPr>
        <w:ind w:left="2357" w:hanging="360"/>
      </w:pPr>
      <w:rPr>
        <w:lang w:val="en-US" w:eastAsia="en-US" w:bidi="ar-SA"/>
      </w:rPr>
    </w:lvl>
    <w:lvl w:ilvl="3" w:tplc="B1E2AB3A">
      <w:numFmt w:val="bullet"/>
      <w:lvlText w:val="•"/>
      <w:lvlJc w:val="left"/>
      <w:pPr>
        <w:ind w:left="3285" w:hanging="360"/>
      </w:pPr>
      <w:rPr>
        <w:lang w:val="en-US" w:eastAsia="en-US" w:bidi="ar-SA"/>
      </w:rPr>
    </w:lvl>
    <w:lvl w:ilvl="4" w:tplc="69A8DA28">
      <w:numFmt w:val="bullet"/>
      <w:lvlText w:val="•"/>
      <w:lvlJc w:val="left"/>
      <w:pPr>
        <w:ind w:left="4214" w:hanging="360"/>
      </w:pPr>
      <w:rPr>
        <w:lang w:val="en-US" w:eastAsia="en-US" w:bidi="ar-SA"/>
      </w:rPr>
    </w:lvl>
    <w:lvl w:ilvl="5" w:tplc="B896C588">
      <w:numFmt w:val="bullet"/>
      <w:lvlText w:val="•"/>
      <w:lvlJc w:val="left"/>
      <w:pPr>
        <w:ind w:left="5143" w:hanging="360"/>
      </w:pPr>
      <w:rPr>
        <w:lang w:val="en-US" w:eastAsia="en-US" w:bidi="ar-SA"/>
      </w:rPr>
    </w:lvl>
    <w:lvl w:ilvl="6" w:tplc="95E885E4">
      <w:numFmt w:val="bullet"/>
      <w:lvlText w:val="•"/>
      <w:lvlJc w:val="left"/>
      <w:pPr>
        <w:ind w:left="6071" w:hanging="360"/>
      </w:pPr>
      <w:rPr>
        <w:lang w:val="en-US" w:eastAsia="en-US" w:bidi="ar-SA"/>
      </w:rPr>
    </w:lvl>
    <w:lvl w:ilvl="7" w:tplc="E9E234B6">
      <w:numFmt w:val="bullet"/>
      <w:lvlText w:val="•"/>
      <w:lvlJc w:val="left"/>
      <w:pPr>
        <w:ind w:left="7000" w:hanging="360"/>
      </w:pPr>
      <w:rPr>
        <w:lang w:val="en-US" w:eastAsia="en-US" w:bidi="ar-SA"/>
      </w:rPr>
    </w:lvl>
    <w:lvl w:ilvl="8" w:tplc="90A0BADA">
      <w:numFmt w:val="bullet"/>
      <w:lvlText w:val="•"/>
      <w:lvlJc w:val="left"/>
      <w:pPr>
        <w:ind w:left="7929" w:hanging="360"/>
      </w:pPr>
      <w:rPr>
        <w:lang w:val="en-US" w:eastAsia="en-US" w:bidi="ar-SA"/>
      </w:rPr>
    </w:lvl>
  </w:abstractNum>
  <w:abstractNum w:abstractNumId="1" w15:restartNumberingAfterBreak="0">
    <w:nsid w:val="369A5E81"/>
    <w:multiLevelType w:val="hybridMultilevel"/>
    <w:tmpl w:val="A9A4A17C"/>
    <w:lvl w:ilvl="0" w:tplc="AFD63362">
      <w:numFmt w:val="bullet"/>
      <w:lvlText w:val="-"/>
      <w:lvlJc w:val="left"/>
      <w:pPr>
        <w:ind w:left="94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344DB98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2" w:tplc="E25A4BCC">
      <w:numFmt w:val="bullet"/>
      <w:lvlText w:val="•"/>
      <w:lvlJc w:val="left"/>
      <w:pPr>
        <w:ind w:left="2909" w:hanging="360"/>
      </w:pPr>
      <w:rPr>
        <w:rFonts w:hint="default"/>
        <w:lang w:val="en-US" w:eastAsia="en-US" w:bidi="ar-SA"/>
      </w:rPr>
    </w:lvl>
    <w:lvl w:ilvl="3" w:tplc="5B46E474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 w:tplc="C3B4531A">
      <w:numFmt w:val="bullet"/>
      <w:lvlText w:val="•"/>
      <w:lvlJc w:val="left"/>
      <w:pPr>
        <w:ind w:left="4879" w:hanging="360"/>
      </w:pPr>
      <w:rPr>
        <w:rFonts w:hint="default"/>
        <w:lang w:val="en-US" w:eastAsia="en-US" w:bidi="ar-SA"/>
      </w:rPr>
    </w:lvl>
    <w:lvl w:ilvl="5" w:tplc="98A2F390">
      <w:numFmt w:val="bullet"/>
      <w:lvlText w:val="•"/>
      <w:lvlJc w:val="left"/>
      <w:pPr>
        <w:ind w:left="5864" w:hanging="360"/>
      </w:pPr>
      <w:rPr>
        <w:rFonts w:hint="default"/>
        <w:lang w:val="en-US" w:eastAsia="en-US" w:bidi="ar-SA"/>
      </w:rPr>
    </w:lvl>
    <w:lvl w:ilvl="6" w:tplc="77FA4262">
      <w:numFmt w:val="bullet"/>
      <w:lvlText w:val="•"/>
      <w:lvlJc w:val="left"/>
      <w:pPr>
        <w:ind w:left="6849" w:hanging="360"/>
      </w:pPr>
      <w:rPr>
        <w:rFonts w:hint="default"/>
        <w:lang w:val="en-US" w:eastAsia="en-US" w:bidi="ar-SA"/>
      </w:rPr>
    </w:lvl>
    <w:lvl w:ilvl="7" w:tplc="F98C0474">
      <w:numFmt w:val="bullet"/>
      <w:lvlText w:val="•"/>
      <w:lvlJc w:val="left"/>
      <w:pPr>
        <w:ind w:left="7834" w:hanging="360"/>
      </w:pPr>
      <w:rPr>
        <w:rFonts w:hint="default"/>
        <w:lang w:val="en-US" w:eastAsia="en-US" w:bidi="ar-SA"/>
      </w:rPr>
    </w:lvl>
    <w:lvl w:ilvl="8" w:tplc="0DC0FB1A">
      <w:numFmt w:val="bullet"/>
      <w:lvlText w:val="•"/>
      <w:lvlJc w:val="left"/>
      <w:pPr>
        <w:ind w:left="881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8655808"/>
    <w:multiLevelType w:val="hybridMultilevel"/>
    <w:tmpl w:val="C854F852"/>
    <w:lvl w:ilvl="0" w:tplc="038C63BC">
      <w:start w:val="1"/>
      <w:numFmt w:val="decimal"/>
      <w:lvlText w:val="%1."/>
      <w:lvlJc w:val="left"/>
      <w:pPr>
        <w:ind w:left="46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7F2DC50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830ABEA0">
      <w:numFmt w:val="bullet"/>
      <w:lvlText w:val="•"/>
      <w:lvlJc w:val="left"/>
      <w:pPr>
        <w:ind w:left="1899" w:hanging="360"/>
      </w:pPr>
      <w:rPr>
        <w:rFonts w:hint="default"/>
        <w:lang w:val="en-US" w:eastAsia="en-US" w:bidi="ar-SA"/>
      </w:rPr>
    </w:lvl>
    <w:lvl w:ilvl="3" w:tplc="7D56CB7C">
      <w:numFmt w:val="bullet"/>
      <w:lvlText w:val="•"/>
      <w:lvlJc w:val="left"/>
      <w:pPr>
        <w:ind w:left="2979" w:hanging="360"/>
      </w:pPr>
      <w:rPr>
        <w:rFonts w:hint="default"/>
        <w:lang w:val="en-US" w:eastAsia="en-US" w:bidi="ar-SA"/>
      </w:rPr>
    </w:lvl>
    <w:lvl w:ilvl="4" w:tplc="DD3CDAEA"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 w:tplc="E57A2628">
      <w:numFmt w:val="bullet"/>
      <w:lvlText w:val="•"/>
      <w:lvlJc w:val="left"/>
      <w:pPr>
        <w:ind w:left="5139" w:hanging="360"/>
      </w:pPr>
      <w:rPr>
        <w:rFonts w:hint="default"/>
        <w:lang w:val="en-US" w:eastAsia="en-US" w:bidi="ar-SA"/>
      </w:rPr>
    </w:lvl>
    <w:lvl w:ilvl="6" w:tplc="0EFE8EDE">
      <w:numFmt w:val="bullet"/>
      <w:lvlText w:val="•"/>
      <w:lvlJc w:val="left"/>
      <w:pPr>
        <w:ind w:left="6218" w:hanging="360"/>
      </w:pPr>
      <w:rPr>
        <w:rFonts w:hint="default"/>
        <w:lang w:val="en-US" w:eastAsia="en-US" w:bidi="ar-SA"/>
      </w:rPr>
    </w:lvl>
    <w:lvl w:ilvl="7" w:tplc="802A5792">
      <w:numFmt w:val="bullet"/>
      <w:lvlText w:val="•"/>
      <w:lvlJc w:val="left"/>
      <w:pPr>
        <w:ind w:left="7298" w:hanging="360"/>
      </w:pPr>
      <w:rPr>
        <w:rFonts w:hint="default"/>
        <w:lang w:val="en-US" w:eastAsia="en-US" w:bidi="ar-SA"/>
      </w:rPr>
    </w:lvl>
    <w:lvl w:ilvl="8" w:tplc="D8D28700">
      <w:numFmt w:val="bullet"/>
      <w:lvlText w:val="•"/>
      <w:lvlJc w:val="left"/>
      <w:pPr>
        <w:ind w:left="837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5DB42C8"/>
    <w:multiLevelType w:val="hybridMultilevel"/>
    <w:tmpl w:val="5BECD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67D4C"/>
    <w:multiLevelType w:val="hybridMultilevel"/>
    <w:tmpl w:val="20C8F798"/>
    <w:lvl w:ilvl="0" w:tplc="178CC122">
      <w:start w:val="6"/>
      <w:numFmt w:val="decimal"/>
      <w:lvlText w:val="%1."/>
      <w:lvlJc w:val="left"/>
      <w:pPr>
        <w:ind w:left="58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F5E4F52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2" w:tplc="8A4C2E4E">
      <w:numFmt w:val="bullet"/>
      <w:lvlText w:val="•"/>
      <w:lvlJc w:val="left"/>
      <w:pPr>
        <w:ind w:left="2621" w:hanging="360"/>
      </w:pPr>
      <w:rPr>
        <w:rFonts w:hint="default"/>
        <w:lang w:val="en-US" w:eastAsia="en-US" w:bidi="ar-SA"/>
      </w:rPr>
    </w:lvl>
    <w:lvl w:ilvl="3" w:tplc="C0D4FFC4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4" w:tplc="859418E0">
      <w:numFmt w:val="bullet"/>
      <w:lvlText w:val="•"/>
      <w:lvlJc w:val="left"/>
      <w:pPr>
        <w:ind w:left="4663" w:hanging="360"/>
      </w:pPr>
      <w:rPr>
        <w:rFonts w:hint="default"/>
        <w:lang w:val="en-US" w:eastAsia="en-US" w:bidi="ar-SA"/>
      </w:rPr>
    </w:lvl>
    <w:lvl w:ilvl="5" w:tplc="C5EEC306">
      <w:numFmt w:val="bullet"/>
      <w:lvlText w:val="•"/>
      <w:lvlJc w:val="left"/>
      <w:pPr>
        <w:ind w:left="5684" w:hanging="360"/>
      </w:pPr>
      <w:rPr>
        <w:rFonts w:hint="default"/>
        <w:lang w:val="en-US" w:eastAsia="en-US" w:bidi="ar-SA"/>
      </w:rPr>
    </w:lvl>
    <w:lvl w:ilvl="6" w:tplc="36C204A2">
      <w:numFmt w:val="bullet"/>
      <w:lvlText w:val="•"/>
      <w:lvlJc w:val="left"/>
      <w:pPr>
        <w:ind w:left="6705" w:hanging="360"/>
      </w:pPr>
      <w:rPr>
        <w:rFonts w:hint="default"/>
        <w:lang w:val="en-US" w:eastAsia="en-US" w:bidi="ar-SA"/>
      </w:rPr>
    </w:lvl>
    <w:lvl w:ilvl="7" w:tplc="0EE279A4">
      <w:numFmt w:val="bullet"/>
      <w:lvlText w:val="•"/>
      <w:lvlJc w:val="left"/>
      <w:pPr>
        <w:ind w:left="7726" w:hanging="360"/>
      </w:pPr>
      <w:rPr>
        <w:rFonts w:hint="default"/>
        <w:lang w:val="en-US" w:eastAsia="en-US" w:bidi="ar-SA"/>
      </w:rPr>
    </w:lvl>
    <w:lvl w:ilvl="8" w:tplc="17E29786">
      <w:numFmt w:val="bullet"/>
      <w:lvlText w:val="•"/>
      <w:lvlJc w:val="left"/>
      <w:pPr>
        <w:ind w:left="8747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onnor, Sean">
    <w15:presenceInfo w15:providerId="AD" w15:userId="S::connors3@lancaster.ac.uk::9c0beb7d-f6f7-4981-8d85-82efe84ea3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2A59"/>
    <w:rsid w:val="000F21CC"/>
    <w:rsid w:val="000F4FAC"/>
    <w:rsid w:val="00133E45"/>
    <w:rsid w:val="00141FE2"/>
    <w:rsid w:val="00161595"/>
    <w:rsid w:val="001D1647"/>
    <w:rsid w:val="001D7A3A"/>
    <w:rsid w:val="003110AB"/>
    <w:rsid w:val="0033392C"/>
    <w:rsid w:val="004634FC"/>
    <w:rsid w:val="00464EC7"/>
    <w:rsid w:val="004B0116"/>
    <w:rsid w:val="0054263F"/>
    <w:rsid w:val="00610783"/>
    <w:rsid w:val="00622A59"/>
    <w:rsid w:val="006D661C"/>
    <w:rsid w:val="007052E2"/>
    <w:rsid w:val="007474AD"/>
    <w:rsid w:val="00753A0B"/>
    <w:rsid w:val="00772E0A"/>
    <w:rsid w:val="0087250F"/>
    <w:rsid w:val="008B5A01"/>
    <w:rsid w:val="00940296"/>
    <w:rsid w:val="00A00474"/>
    <w:rsid w:val="00A70108"/>
    <w:rsid w:val="00AF2E1D"/>
    <w:rsid w:val="00C404F3"/>
    <w:rsid w:val="00C67943"/>
    <w:rsid w:val="00C70D4A"/>
    <w:rsid w:val="00E22F4C"/>
    <w:rsid w:val="00E7138C"/>
    <w:rsid w:val="00EE4C5C"/>
    <w:rsid w:val="00F279C3"/>
    <w:rsid w:val="00F5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BD504"/>
  <w15:docId w15:val="{BB68BBFA-9821-4AD8-96E2-C2F64769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hanging="360"/>
    </w:pPr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ind w:left="3555" w:right="363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88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Revision">
    <w:name w:val="Revision"/>
    <w:hidden/>
    <w:uiPriority w:val="99"/>
    <w:semiHidden/>
    <w:rsid w:val="00AF2E1D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TitleChar">
    <w:name w:val="Title Char"/>
    <w:basedOn w:val="DefaultParagraphFont"/>
    <w:link w:val="Title"/>
    <w:uiPriority w:val="10"/>
    <w:rsid w:val="00AF2E1D"/>
    <w:rPr>
      <w:rFonts w:ascii="Calibri" w:eastAsia="Calibri" w:hAnsi="Calibri" w:cs="Calibri"/>
      <w:b/>
      <w:bCs/>
      <w:sz w:val="24"/>
      <w:szCs w:val="24"/>
    </w:rPr>
  </w:style>
  <w:style w:type="paragraph" w:customStyle="1" w:styleId="BodyText1">
    <w:name w:val="Body Text1"/>
    <w:basedOn w:val="Normal"/>
    <w:rsid w:val="00F279C3"/>
    <w:pPr>
      <w:widowControl/>
      <w:tabs>
        <w:tab w:val="left" w:pos="576"/>
        <w:tab w:val="left" w:pos="1152"/>
        <w:tab w:val="left" w:pos="1728"/>
        <w:tab w:val="left" w:pos="2552"/>
        <w:tab w:val="left" w:pos="5760"/>
      </w:tabs>
      <w:suppressAutoHyphens/>
      <w:autoSpaceDE/>
      <w:autoSpaceDN/>
      <w:spacing w:before="100" w:line="240" w:lineRule="atLeast"/>
      <w:jc w:val="both"/>
    </w:pPr>
    <w:rPr>
      <w:rFonts w:ascii="Arial" w:eastAsia="Times New Roman" w:hAnsi="Arial" w:cs="Times New Roman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E22F4C"/>
    <w:rPr>
      <w:rFonts w:ascii="Calibri" w:eastAsia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F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F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Connor, Sean</cp:lastModifiedBy>
  <cp:revision>30</cp:revision>
  <dcterms:created xsi:type="dcterms:W3CDTF">2023-04-13T19:40:00Z</dcterms:created>
  <dcterms:modified xsi:type="dcterms:W3CDTF">2023-04-13T20:07:00Z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2023-04-13T00:00:00Z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D:20170127153220</vt:lpwstr>
  </property>
</Properties>
</file>