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090"/>
        <w:tblW w:w="0" w:type="auto"/>
        <w:tblLook w:val="04A0" w:firstRow="1" w:lastRow="0" w:firstColumn="1" w:lastColumn="0" w:noHBand="0" w:noVBand="1"/>
      </w:tblPr>
      <w:tblGrid>
        <w:gridCol w:w="9016"/>
      </w:tblGrid>
      <w:tr w:rsidR="00C309E7" w14:paraId="2550B3C7" w14:textId="77777777" w:rsidTr="2DE8ECE8">
        <w:tc>
          <w:tcPr>
            <w:tcW w:w="9016" w:type="dxa"/>
          </w:tcPr>
          <w:p w14:paraId="5A7977D5" w14:textId="77777777" w:rsidR="00C309E7" w:rsidRDefault="00C309E7" w:rsidP="0087669A">
            <w:r w:rsidRPr="00C309E7">
              <w:rPr>
                <w:b/>
              </w:rPr>
              <w:t>Job title:</w:t>
            </w:r>
            <w:r>
              <w:t xml:space="preserve"> Widening Participation Officer                                                                </w:t>
            </w:r>
            <w:r w:rsidRPr="00C309E7">
              <w:rPr>
                <w:b/>
              </w:rPr>
              <w:t>Present Grade:</w:t>
            </w:r>
            <w:r>
              <w:t xml:space="preserve"> 6</w:t>
            </w:r>
          </w:p>
        </w:tc>
      </w:tr>
      <w:tr w:rsidR="00C309E7" w14:paraId="1D54785E" w14:textId="77777777" w:rsidTr="2DE8ECE8">
        <w:tc>
          <w:tcPr>
            <w:tcW w:w="9016" w:type="dxa"/>
          </w:tcPr>
          <w:p w14:paraId="55E3B18A" w14:textId="77777777" w:rsidR="00C309E7" w:rsidRDefault="00C309E7" w:rsidP="0087669A">
            <w:r w:rsidRPr="00C309E7">
              <w:rPr>
                <w:b/>
              </w:rPr>
              <w:t>Department/</w:t>
            </w:r>
            <w:r>
              <w:rPr>
                <w:b/>
              </w:rPr>
              <w:t>d</w:t>
            </w:r>
            <w:r w:rsidRPr="00C309E7">
              <w:rPr>
                <w:b/>
              </w:rPr>
              <w:t>ivision:</w:t>
            </w:r>
            <w:r>
              <w:t xml:space="preserve"> Social Mobility and Student Success (SMSS), External Relations </w:t>
            </w:r>
          </w:p>
        </w:tc>
      </w:tr>
      <w:tr w:rsidR="00C309E7" w14:paraId="49F35BE6" w14:textId="77777777" w:rsidTr="2DE8ECE8">
        <w:tc>
          <w:tcPr>
            <w:tcW w:w="9016" w:type="dxa"/>
          </w:tcPr>
          <w:p w14:paraId="4BEAEB55" w14:textId="77777777" w:rsidR="00C309E7" w:rsidRDefault="00C309E7" w:rsidP="0087669A">
            <w:r w:rsidRPr="00C309E7">
              <w:rPr>
                <w:b/>
              </w:rPr>
              <w:t>Directly responsible to:</w:t>
            </w:r>
            <w:r w:rsidRPr="00C309E7">
              <w:tab/>
            </w:r>
            <w:r>
              <w:t xml:space="preserve">Widening Participation Manager </w:t>
            </w:r>
          </w:p>
        </w:tc>
      </w:tr>
      <w:tr w:rsidR="00C309E7" w14:paraId="41EEB683" w14:textId="77777777" w:rsidTr="2DE8ECE8">
        <w:tc>
          <w:tcPr>
            <w:tcW w:w="9016" w:type="dxa"/>
          </w:tcPr>
          <w:p w14:paraId="2F5EF81E" w14:textId="77777777" w:rsidR="00C309E7" w:rsidRDefault="00C309E7" w:rsidP="0087669A">
            <w:r w:rsidRPr="00C309E7">
              <w:rPr>
                <w:b/>
              </w:rPr>
              <w:t>Supervisory responsibility:</w:t>
            </w:r>
            <w:r>
              <w:t xml:space="preserve"> Widening Participation Coordinator </w:t>
            </w:r>
          </w:p>
        </w:tc>
      </w:tr>
      <w:tr w:rsidR="00C309E7" w14:paraId="041181B5" w14:textId="77777777" w:rsidTr="2DE8ECE8">
        <w:tc>
          <w:tcPr>
            <w:tcW w:w="9016" w:type="dxa"/>
          </w:tcPr>
          <w:p w14:paraId="20298D75" w14:textId="77777777" w:rsidR="00C309E7" w:rsidRPr="00C309E7" w:rsidRDefault="00C309E7" w:rsidP="0087669A">
            <w:pPr>
              <w:rPr>
                <w:b/>
              </w:rPr>
            </w:pPr>
            <w:r>
              <w:rPr>
                <w:b/>
              </w:rPr>
              <w:t>C</w:t>
            </w:r>
            <w:r w:rsidRPr="00C309E7">
              <w:rPr>
                <w:b/>
              </w:rPr>
              <w:t>ontacts</w:t>
            </w:r>
            <w:r>
              <w:rPr>
                <w:b/>
              </w:rPr>
              <w:t>:</w:t>
            </w:r>
          </w:p>
          <w:p w14:paraId="0A50E988" w14:textId="77777777" w:rsidR="00C309E7" w:rsidRDefault="00C309E7" w:rsidP="0087669A">
            <w:pPr>
              <w:pStyle w:val="ListParagraph"/>
              <w:numPr>
                <w:ilvl w:val="0"/>
                <w:numId w:val="1"/>
              </w:numPr>
            </w:pPr>
            <w:r w:rsidRPr="00C309E7">
              <w:rPr>
                <w:i/>
              </w:rPr>
              <w:t>Internal:</w:t>
            </w:r>
            <w:r>
              <w:t xml:space="preserve"> External Relations colleagues, Recruitment and Admissions staff, academic departments and Faculties, Lancaster University Students’ Union and all other Professional Services.</w:t>
            </w:r>
          </w:p>
          <w:p w14:paraId="2C3DD0C6" w14:textId="709CD0E5" w:rsidR="00C309E7" w:rsidRDefault="00C309E7" w:rsidP="0087669A">
            <w:pPr>
              <w:pStyle w:val="ListParagraph"/>
              <w:numPr>
                <w:ilvl w:val="0"/>
                <w:numId w:val="1"/>
              </w:numPr>
            </w:pPr>
            <w:r w:rsidRPr="00C309E7">
              <w:rPr>
                <w:i/>
              </w:rPr>
              <w:t>External:</w:t>
            </w:r>
            <w:r>
              <w:t xml:space="preserve"> Prospective students and parents, school and college teachers and careers professionals, local/regional government</w:t>
            </w:r>
            <w:r w:rsidR="00086C97">
              <w:t xml:space="preserve">, </w:t>
            </w:r>
            <w:r w:rsidR="00E1339F">
              <w:t xml:space="preserve">external partner organisations, </w:t>
            </w:r>
            <w:r>
              <w:t>other higher education staff</w:t>
            </w:r>
            <w:r w:rsidR="00086C97">
              <w:t xml:space="preserve"> and</w:t>
            </w:r>
            <w:r>
              <w:t xml:space="preserve"> Lancaster alumni.</w:t>
            </w:r>
          </w:p>
          <w:p w14:paraId="672A6659" w14:textId="77777777" w:rsidR="00F91D18" w:rsidRDefault="00F91D18" w:rsidP="0087669A">
            <w:pPr>
              <w:ind w:left="141"/>
            </w:pPr>
          </w:p>
        </w:tc>
      </w:tr>
      <w:tr w:rsidR="00C309E7" w14:paraId="235FCE37" w14:textId="77777777" w:rsidTr="2DE8ECE8">
        <w:tc>
          <w:tcPr>
            <w:tcW w:w="9016" w:type="dxa"/>
          </w:tcPr>
          <w:p w14:paraId="21ECF24A" w14:textId="77777777" w:rsidR="00C309E7" w:rsidRDefault="00C309E7" w:rsidP="0087669A">
            <w:pPr>
              <w:rPr>
                <w:b/>
              </w:rPr>
            </w:pPr>
            <w:r w:rsidRPr="00C309E7">
              <w:rPr>
                <w:b/>
              </w:rPr>
              <w:t>Major duties:</w:t>
            </w:r>
          </w:p>
          <w:p w14:paraId="0A37501D" w14:textId="77777777" w:rsidR="00C309E7" w:rsidRPr="00C309E7" w:rsidRDefault="00C309E7" w:rsidP="0087669A">
            <w:pPr>
              <w:rPr>
                <w:b/>
                <w:sz w:val="10"/>
                <w:szCs w:val="10"/>
              </w:rPr>
            </w:pPr>
          </w:p>
          <w:p w14:paraId="61EC365B" w14:textId="2E1182FE" w:rsidR="00C309E7" w:rsidRDefault="00C309E7" w:rsidP="00E1339F">
            <w:pPr>
              <w:jc w:val="both"/>
            </w:pPr>
            <w:r>
              <w:t xml:space="preserve">The Widening Participation Officer will </w:t>
            </w:r>
            <w:r w:rsidR="00E1339F">
              <w:t xml:space="preserve">manage and deliver programmes which support young people who are underrepresented at Lancaster University. </w:t>
            </w:r>
            <w:r>
              <w:t>The role holder will be responsible for</w:t>
            </w:r>
            <w:r w:rsidR="00E1339F">
              <w:t xml:space="preserve"> delivering the Role Model Ambassador Programme, working with British South Asian Communities and Islamic Faith schools, and the Uncover Progress programme, working with Black Heritage students in the Southeast. These bespoke WP programmes involve</w:t>
            </w:r>
            <w:r>
              <w:t xml:space="preserve"> initiatives such as</w:t>
            </w:r>
            <w:r w:rsidR="00F91D18">
              <w:t xml:space="preserve"> campus visits, residentials, mentoring sessions and online workshops</w:t>
            </w:r>
            <w:r w:rsidR="00E1339F">
              <w:t>, which the role holder will be responsible to deliver</w:t>
            </w:r>
            <w:r w:rsidR="00F91D18">
              <w:t>.</w:t>
            </w:r>
            <w:r>
              <w:t xml:space="preserve"> In addition, the role holder will </w:t>
            </w:r>
            <w:r w:rsidR="00E1339F">
              <w:t xml:space="preserve">manage a team of student mentors and role model ambassadors to develop content and resources for the programmes. </w:t>
            </w:r>
            <w:r w:rsidR="00F91D18">
              <w:t xml:space="preserve"> </w:t>
            </w:r>
          </w:p>
          <w:p w14:paraId="5DAB6C7B" w14:textId="77777777" w:rsidR="00C309E7" w:rsidRDefault="00C309E7" w:rsidP="0087669A"/>
        </w:tc>
      </w:tr>
      <w:tr w:rsidR="00C309E7" w14:paraId="58DB9589" w14:textId="77777777" w:rsidTr="00166F06">
        <w:tc>
          <w:tcPr>
            <w:tcW w:w="9016" w:type="dxa"/>
            <w:shd w:val="clear" w:color="auto" w:fill="auto"/>
          </w:tcPr>
          <w:p w14:paraId="386BF2B6" w14:textId="77777777" w:rsidR="00F91D18" w:rsidRPr="00F91D18" w:rsidRDefault="00F91D18" w:rsidP="0087669A">
            <w:pPr>
              <w:rPr>
                <w:b/>
              </w:rPr>
            </w:pPr>
            <w:r w:rsidRPr="00F91D18">
              <w:rPr>
                <w:b/>
              </w:rPr>
              <w:t>Principal duties:</w:t>
            </w:r>
          </w:p>
          <w:p w14:paraId="02EB378F" w14:textId="77777777" w:rsidR="00F91D18" w:rsidRDefault="00F91D18" w:rsidP="0087669A"/>
          <w:p w14:paraId="7E53B5B7" w14:textId="21E6CA71" w:rsidR="00F91D18" w:rsidRDefault="00F91D18" w:rsidP="0087669A">
            <w:pPr>
              <w:pStyle w:val="ListParagraph"/>
              <w:numPr>
                <w:ilvl w:val="0"/>
                <w:numId w:val="2"/>
              </w:numPr>
            </w:pPr>
            <w:r>
              <w:t xml:space="preserve">To develop and deliver widening access initiatives to </w:t>
            </w:r>
            <w:r w:rsidR="00F013BB">
              <w:t>support young people to make an informed decision about higher education.</w:t>
            </w:r>
          </w:p>
          <w:p w14:paraId="214ED0A7" w14:textId="70B5A41D" w:rsidR="00F013BB" w:rsidRDefault="00F013BB" w:rsidP="0087669A">
            <w:pPr>
              <w:pStyle w:val="ListParagraph"/>
              <w:numPr>
                <w:ilvl w:val="0"/>
                <w:numId w:val="2"/>
              </w:numPr>
            </w:pPr>
            <w:r>
              <w:t xml:space="preserve">To design and deliver events which align with the Role Model Ambassadors programme and Uncover Progress programme, such as on campus visits, residentials, in-school visits and online sessions. </w:t>
            </w:r>
          </w:p>
          <w:p w14:paraId="5DE30F63" w14:textId="77F003B6" w:rsidR="00F013BB" w:rsidRDefault="00F013BB" w:rsidP="00F013BB">
            <w:pPr>
              <w:pStyle w:val="ListParagraph"/>
              <w:numPr>
                <w:ilvl w:val="0"/>
                <w:numId w:val="2"/>
              </w:numPr>
            </w:pPr>
            <w:r>
              <w:t>To line manage a Co-ordinator who will support the delivery of activities set.</w:t>
            </w:r>
          </w:p>
          <w:p w14:paraId="214E8F7A" w14:textId="0DFE8228" w:rsidR="00F013BB" w:rsidRDefault="00F013BB" w:rsidP="00F013BB">
            <w:pPr>
              <w:pStyle w:val="ListParagraph"/>
              <w:numPr>
                <w:ilvl w:val="0"/>
                <w:numId w:val="2"/>
              </w:numPr>
            </w:pPr>
            <w:r w:rsidRPr="00F013BB">
              <w:t>Work with the Widening Participation Co-</w:t>
            </w:r>
            <w:r>
              <w:t>o</w:t>
            </w:r>
            <w:r w:rsidRPr="00F013BB">
              <w:t xml:space="preserve">rdinator to recruit </w:t>
            </w:r>
            <w:r>
              <w:t>and train</w:t>
            </w:r>
            <w:r w:rsidRPr="00F013BB">
              <w:t xml:space="preserve"> a pool of Student Ambassadors to work on </w:t>
            </w:r>
            <w:r>
              <w:t xml:space="preserve">the Role Model Ambassador programme and the Uncover Progress programme. </w:t>
            </w:r>
          </w:p>
          <w:p w14:paraId="1388FFFA" w14:textId="66DE92FC" w:rsidR="00F91D18" w:rsidRDefault="00F91D18" w:rsidP="0087669A">
            <w:pPr>
              <w:pStyle w:val="ListParagraph"/>
              <w:numPr>
                <w:ilvl w:val="0"/>
                <w:numId w:val="2"/>
              </w:numPr>
            </w:pPr>
            <w:r>
              <w:t xml:space="preserve">To </w:t>
            </w:r>
            <w:r w:rsidR="00F013BB">
              <w:t>monitor progress of the programmes and actively evaluate the programmes outlined, with a robust evaluation plan which aligns with our Access and Participation Plan (APP).</w:t>
            </w:r>
            <w:r>
              <w:t xml:space="preserve"> </w:t>
            </w:r>
          </w:p>
          <w:p w14:paraId="2F46ABF7" w14:textId="4F258F13" w:rsidR="00F91D18" w:rsidRPr="00F013BB" w:rsidRDefault="00F013BB" w:rsidP="00F013BB">
            <w:pPr>
              <w:pStyle w:val="ListParagraph"/>
              <w:numPr>
                <w:ilvl w:val="0"/>
                <w:numId w:val="2"/>
              </w:numPr>
            </w:pPr>
            <w:r w:rsidRPr="00F013BB">
              <w:t xml:space="preserve">Manage a budget for the projects. </w:t>
            </w:r>
          </w:p>
          <w:p w14:paraId="1B57B919" w14:textId="2858A1B6" w:rsidR="00E1339F" w:rsidRPr="00F013BB" w:rsidRDefault="00E1339F" w:rsidP="00E1339F">
            <w:pPr>
              <w:pStyle w:val="ListParagraph"/>
              <w:numPr>
                <w:ilvl w:val="0"/>
                <w:numId w:val="2"/>
              </w:numPr>
            </w:pPr>
            <w:r w:rsidRPr="00F013BB">
              <w:t xml:space="preserve">Work with external partners (such as With Insight) to deliver programmes which meet our APP targets. </w:t>
            </w:r>
          </w:p>
          <w:p w14:paraId="207228CA" w14:textId="77777777" w:rsidR="00166F06" w:rsidRDefault="00F91D18" w:rsidP="00166F06">
            <w:pPr>
              <w:pStyle w:val="ListParagraph"/>
              <w:numPr>
                <w:ilvl w:val="0"/>
                <w:numId w:val="2"/>
              </w:numPr>
            </w:pPr>
            <w:r>
              <w:t xml:space="preserve">Deliver high quality presentations about the University and other aspects of higher </w:t>
            </w:r>
            <w:r w:rsidRPr="00166F06">
              <w:t>education both on and off campus</w:t>
            </w:r>
            <w:r w:rsidR="00842F9E" w:rsidRPr="00166F06">
              <w:t>.</w:t>
            </w:r>
          </w:p>
          <w:p w14:paraId="3D9BE1B9" w14:textId="384093C8" w:rsidR="00F91D18" w:rsidRPr="00166F06" w:rsidRDefault="00F91D18" w:rsidP="00166F06">
            <w:pPr>
              <w:pStyle w:val="ListParagraph"/>
              <w:numPr>
                <w:ilvl w:val="0"/>
                <w:numId w:val="2"/>
              </w:numPr>
            </w:pPr>
            <w:r w:rsidRPr="00166F06">
              <w:t>To liaise and network with teachers and careers professionals to develop effective relationships</w:t>
            </w:r>
            <w:r>
              <w:t xml:space="preserve"> to meet </w:t>
            </w:r>
            <w:r w:rsidR="00842F9E">
              <w:t>WP</w:t>
            </w:r>
            <w:r>
              <w:t xml:space="preserve"> targets</w:t>
            </w:r>
            <w:r w:rsidR="00842F9E">
              <w:t>.</w:t>
            </w:r>
          </w:p>
          <w:p w14:paraId="3E12E401" w14:textId="77777777" w:rsidR="00F91D18" w:rsidRDefault="00F91D18" w:rsidP="0087669A">
            <w:pPr>
              <w:pStyle w:val="ListParagraph"/>
              <w:numPr>
                <w:ilvl w:val="0"/>
                <w:numId w:val="2"/>
              </w:numPr>
            </w:pPr>
            <w:r>
              <w:t>To manage relevant web pages and ensure information is updated as required</w:t>
            </w:r>
            <w:r w:rsidR="00842F9E">
              <w:t>.</w:t>
            </w:r>
          </w:p>
          <w:p w14:paraId="13C88B2F" w14:textId="77777777" w:rsidR="00F91D18" w:rsidRDefault="00F91D18" w:rsidP="0087669A">
            <w:pPr>
              <w:pStyle w:val="ListParagraph"/>
              <w:numPr>
                <w:ilvl w:val="0"/>
                <w:numId w:val="2"/>
              </w:numPr>
            </w:pPr>
            <w:r>
              <w:t>Assist in the development</w:t>
            </w:r>
            <w:r w:rsidR="00842F9E">
              <w:t xml:space="preserve">/production </w:t>
            </w:r>
            <w:r>
              <w:t>of relevant</w:t>
            </w:r>
            <w:r w:rsidR="00842F9E">
              <w:t>,</w:t>
            </w:r>
            <w:r>
              <w:t xml:space="preserve"> targeted </w:t>
            </w:r>
            <w:r w:rsidR="00842F9E">
              <w:t xml:space="preserve">WP promotional </w:t>
            </w:r>
            <w:r>
              <w:t>materials</w:t>
            </w:r>
            <w:r w:rsidR="00842F9E">
              <w:t>.</w:t>
            </w:r>
          </w:p>
          <w:p w14:paraId="0A5BB218" w14:textId="77777777" w:rsidR="00F91D18" w:rsidRDefault="00F91D18" w:rsidP="0087669A">
            <w:pPr>
              <w:pStyle w:val="ListParagraph"/>
              <w:numPr>
                <w:ilvl w:val="0"/>
                <w:numId w:val="2"/>
              </w:numPr>
            </w:pPr>
            <w:r>
              <w:t>To collect,</w:t>
            </w:r>
            <w:r w:rsidR="00842F9E">
              <w:t xml:space="preserve"> input and monitor</w:t>
            </w:r>
            <w:r>
              <w:t xml:space="preserve"> data on the University’s</w:t>
            </w:r>
            <w:r w:rsidR="00842F9E">
              <w:t xml:space="preserve"> WP</w:t>
            </w:r>
            <w:r>
              <w:t xml:space="preserve"> activities</w:t>
            </w:r>
            <w:r w:rsidR="00842F9E">
              <w:t xml:space="preserve"> for the purpose of evaluation and continuous improvement. </w:t>
            </w:r>
          </w:p>
          <w:p w14:paraId="4F0B4A5E" w14:textId="77777777" w:rsidR="00F91D18" w:rsidRDefault="00F91D18" w:rsidP="0087669A">
            <w:pPr>
              <w:pStyle w:val="ListParagraph"/>
              <w:numPr>
                <w:ilvl w:val="0"/>
                <w:numId w:val="2"/>
              </w:numPr>
            </w:pPr>
            <w:r>
              <w:lastRenderedPageBreak/>
              <w:t>Maintain</w:t>
            </w:r>
            <w:r w:rsidR="00842F9E">
              <w:t xml:space="preserve"> and </w:t>
            </w:r>
            <w:r>
              <w:t>update own professional knowledge</w:t>
            </w:r>
            <w:r w:rsidR="0087669A">
              <w:t xml:space="preserve"> on </w:t>
            </w:r>
            <w:r>
              <w:t xml:space="preserve">sector wide issues relating to </w:t>
            </w:r>
            <w:r w:rsidR="0087669A">
              <w:t xml:space="preserve">core areas of work, </w:t>
            </w:r>
            <w:r>
              <w:t xml:space="preserve">share </w:t>
            </w:r>
            <w:r w:rsidR="0087669A">
              <w:t xml:space="preserve">good </w:t>
            </w:r>
            <w:r>
              <w:t>practice and train other colleagues as necessary</w:t>
            </w:r>
            <w:r w:rsidR="0087669A">
              <w:t>.</w:t>
            </w:r>
          </w:p>
          <w:p w14:paraId="4802F46C" w14:textId="77777777" w:rsidR="00F91D18" w:rsidRDefault="00F91D18" w:rsidP="0087669A">
            <w:pPr>
              <w:pStyle w:val="ListParagraph"/>
              <w:numPr>
                <w:ilvl w:val="0"/>
                <w:numId w:val="2"/>
              </w:numPr>
            </w:pPr>
            <w:r>
              <w:t>At all times to carry out responsibilities with due regard to the University’s code on Equality</w:t>
            </w:r>
            <w:r w:rsidR="0003061A">
              <w:t xml:space="preserve">, </w:t>
            </w:r>
            <w:r>
              <w:t>Diversity</w:t>
            </w:r>
            <w:r w:rsidR="0003061A">
              <w:t xml:space="preserve"> and Inclusion,</w:t>
            </w:r>
            <w:r>
              <w:t xml:space="preserve"> Health and Safety and Child Protection </w:t>
            </w:r>
            <w:r w:rsidR="0003061A">
              <w:t>p</w:t>
            </w:r>
            <w:r>
              <w:t>olicy</w:t>
            </w:r>
            <w:r w:rsidR="0087669A">
              <w:t>.</w:t>
            </w:r>
          </w:p>
          <w:p w14:paraId="1E538455" w14:textId="77777777" w:rsidR="00C309E7" w:rsidRDefault="00F91D18" w:rsidP="0087669A">
            <w:pPr>
              <w:pStyle w:val="ListParagraph"/>
              <w:numPr>
                <w:ilvl w:val="0"/>
                <w:numId w:val="2"/>
              </w:numPr>
            </w:pPr>
            <w:r>
              <w:t>Any other duties appropriate to the role as required by the Line Manager or Head of Department</w:t>
            </w:r>
            <w:r w:rsidR="0087669A">
              <w:t>.</w:t>
            </w:r>
          </w:p>
        </w:tc>
      </w:tr>
    </w:tbl>
    <w:p w14:paraId="6A05A809" w14:textId="77777777" w:rsidR="00337678" w:rsidRDefault="00337678"/>
    <w:sectPr w:rsidR="0033767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527FB" w14:textId="77777777" w:rsidR="000901B5" w:rsidRDefault="000901B5" w:rsidP="0087669A">
      <w:pPr>
        <w:spacing w:after="0" w:line="240" w:lineRule="auto"/>
      </w:pPr>
      <w:r>
        <w:separator/>
      </w:r>
    </w:p>
  </w:endnote>
  <w:endnote w:type="continuationSeparator" w:id="0">
    <w:p w14:paraId="7FC7812E" w14:textId="77777777" w:rsidR="000901B5" w:rsidRDefault="000901B5" w:rsidP="0087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C3FE" w14:textId="77777777" w:rsidR="000901B5" w:rsidRDefault="000901B5" w:rsidP="0087669A">
      <w:pPr>
        <w:spacing w:after="0" w:line="240" w:lineRule="auto"/>
      </w:pPr>
      <w:r>
        <w:separator/>
      </w:r>
    </w:p>
  </w:footnote>
  <w:footnote w:type="continuationSeparator" w:id="0">
    <w:p w14:paraId="52A69B4F" w14:textId="77777777" w:rsidR="000901B5" w:rsidRDefault="000901B5" w:rsidP="00876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D34C" w14:textId="77777777" w:rsidR="0087669A" w:rsidRDefault="0087669A" w:rsidP="0087669A">
    <w:pPr>
      <w:pStyle w:val="Heading1"/>
      <w:tabs>
        <w:tab w:val="center" w:pos="4563"/>
        <w:tab w:val="right" w:pos="9026"/>
      </w:tabs>
      <w:kinsoku w:val="0"/>
      <w:overflowPunct w:val="0"/>
      <w:rPr>
        <w:b w:val="0"/>
        <w:bCs w:val="0"/>
      </w:rPr>
    </w:pPr>
    <w:r>
      <w:rPr>
        <w:spacing w:val="-1"/>
      </w:rPr>
      <w:tab/>
      <w:t>JOB</w:t>
    </w:r>
    <w:r>
      <w:rPr>
        <w:spacing w:val="1"/>
      </w:rPr>
      <w:t xml:space="preserve"> </w:t>
    </w:r>
    <w:r>
      <w:rPr>
        <w:spacing w:val="-1"/>
      </w:rPr>
      <w:t>DESCRIPTION</w:t>
    </w:r>
    <w:r>
      <w:rPr>
        <w:spacing w:val="-1"/>
      </w:rPr>
      <w:tab/>
    </w:r>
    <w:r>
      <w:rPr>
        <w:noProof/>
      </w:rPr>
      <w:drawing>
        <wp:inline distT="0" distB="0" distL="0" distR="0" wp14:anchorId="605555CE" wp14:editId="44C99EC5">
          <wp:extent cx="1454150" cy="558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558800"/>
                  </a:xfrm>
                  <a:prstGeom prst="rect">
                    <a:avLst/>
                  </a:prstGeom>
                  <a:noFill/>
                  <a:ln>
                    <a:noFill/>
                  </a:ln>
                </pic:spPr>
              </pic:pic>
            </a:graphicData>
          </a:graphic>
        </wp:inline>
      </w:drawing>
    </w:r>
  </w:p>
  <w:p w14:paraId="73CC0F11" w14:textId="77777777" w:rsidR="0087669A" w:rsidRDefault="00086C97" w:rsidP="0087669A">
    <w:pPr>
      <w:pStyle w:val="BodyText"/>
      <w:kinsoku w:val="0"/>
      <w:overflowPunct w:val="0"/>
      <w:ind w:left="3640" w:right="3538" w:firstLine="0"/>
      <w:jc w:val="center"/>
      <w:rPr>
        <w:rFonts w:ascii="Calibri" w:hAnsi="Calibri" w:cs="Calibri"/>
        <w:b/>
        <w:bCs/>
        <w:spacing w:val="33"/>
        <w:sz w:val="22"/>
        <w:szCs w:val="22"/>
      </w:rPr>
    </w:pPr>
    <w:r>
      <w:rPr>
        <w:rFonts w:ascii="Calibri" w:hAnsi="Calibri" w:cs="Calibri"/>
        <w:b/>
        <w:bCs/>
        <w:spacing w:val="-1"/>
        <w:sz w:val="22"/>
        <w:szCs w:val="22"/>
      </w:rPr>
      <w:t>Widening Participation</w:t>
    </w:r>
    <w:r w:rsidR="0087669A">
      <w:rPr>
        <w:rFonts w:ascii="Calibri" w:hAnsi="Calibri" w:cs="Calibri"/>
        <w:b/>
        <w:bCs/>
        <w:spacing w:val="-1"/>
        <w:sz w:val="22"/>
        <w:szCs w:val="22"/>
      </w:rPr>
      <w:t xml:space="preserve"> Officer</w:t>
    </w:r>
  </w:p>
  <w:p w14:paraId="621A143B" w14:textId="77777777" w:rsidR="0087669A" w:rsidRDefault="0087669A" w:rsidP="0087669A">
    <w:pPr>
      <w:pStyle w:val="BodyText"/>
      <w:kinsoku w:val="0"/>
      <w:overflowPunct w:val="0"/>
      <w:ind w:left="3640" w:right="3538" w:firstLine="0"/>
      <w:jc w:val="center"/>
      <w:rPr>
        <w:rFonts w:ascii="Calibri" w:hAnsi="Calibri" w:cs="Calibri"/>
        <w:b/>
        <w:bCs/>
        <w:spacing w:val="-2"/>
        <w:sz w:val="22"/>
        <w:szCs w:val="22"/>
      </w:rPr>
    </w:pPr>
    <w:r>
      <w:rPr>
        <w:rFonts w:ascii="Calibri" w:hAnsi="Calibri" w:cs="Calibri"/>
        <w:b/>
        <w:bCs/>
        <w:spacing w:val="-1"/>
        <w:sz w:val="22"/>
        <w:szCs w:val="22"/>
      </w:rPr>
      <w:t xml:space="preserve">Vacancy Ref: </w:t>
    </w:r>
    <w:r>
      <w:rPr>
        <w:rFonts w:ascii="Calibri" w:hAnsi="Calibri" w:cs="Calibri"/>
        <w:b/>
        <w:bCs/>
        <w:spacing w:val="-2"/>
        <w:sz w:val="22"/>
        <w:szCs w:val="22"/>
      </w:rPr>
      <w:t>XXXX</w:t>
    </w:r>
  </w:p>
  <w:p w14:paraId="5A39BBE3" w14:textId="77777777" w:rsidR="0087669A" w:rsidRDefault="00876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11C9C"/>
    <w:multiLevelType w:val="hybridMultilevel"/>
    <w:tmpl w:val="6EECC978"/>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E16248"/>
    <w:multiLevelType w:val="hybridMultilevel"/>
    <w:tmpl w:val="78BA058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847176">
    <w:abstractNumId w:val="1"/>
  </w:num>
  <w:num w:numId="2" w16cid:durableId="160225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E7"/>
    <w:rsid w:val="0003061A"/>
    <w:rsid w:val="00076AA7"/>
    <w:rsid w:val="00086C97"/>
    <w:rsid w:val="000901B5"/>
    <w:rsid w:val="00166F06"/>
    <w:rsid w:val="00337678"/>
    <w:rsid w:val="00667C2A"/>
    <w:rsid w:val="00842F9E"/>
    <w:rsid w:val="0087669A"/>
    <w:rsid w:val="00997889"/>
    <w:rsid w:val="00C23157"/>
    <w:rsid w:val="00C309E7"/>
    <w:rsid w:val="00C97644"/>
    <w:rsid w:val="00E1339F"/>
    <w:rsid w:val="00E829DB"/>
    <w:rsid w:val="00F013BB"/>
    <w:rsid w:val="00F91D18"/>
    <w:rsid w:val="0160BCD9"/>
    <w:rsid w:val="24C9FF47"/>
    <w:rsid w:val="28A12E3B"/>
    <w:rsid w:val="2DE8ECE8"/>
    <w:rsid w:val="343815A3"/>
    <w:rsid w:val="3F99662A"/>
    <w:rsid w:val="54281285"/>
    <w:rsid w:val="7DE4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08E0"/>
  <w15:chartTrackingRefBased/>
  <w15:docId w15:val="{1BDE8CE2-A28A-4300-B7A2-00BB5262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7669A"/>
    <w:pPr>
      <w:widowControl w:val="0"/>
      <w:autoSpaceDE w:val="0"/>
      <w:autoSpaceDN w:val="0"/>
      <w:adjustRightInd w:val="0"/>
      <w:spacing w:after="0" w:line="240" w:lineRule="auto"/>
      <w:ind w:left="101"/>
      <w:outlineLvl w:val="0"/>
    </w:pPr>
    <w:rPr>
      <w:rFonts w:ascii="Calibri" w:eastAsia="Times New Roman" w:hAnsi="Calibri" w:cs="Calibri"/>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9E7"/>
    <w:pPr>
      <w:ind w:left="720"/>
      <w:contextualSpacing/>
    </w:pPr>
  </w:style>
  <w:style w:type="character" w:customStyle="1" w:styleId="Heading1Char">
    <w:name w:val="Heading 1 Char"/>
    <w:basedOn w:val="DefaultParagraphFont"/>
    <w:link w:val="Heading1"/>
    <w:uiPriority w:val="1"/>
    <w:rsid w:val="0087669A"/>
    <w:rPr>
      <w:rFonts w:ascii="Calibri" w:eastAsia="Times New Roman" w:hAnsi="Calibri" w:cs="Calibri"/>
      <w:b/>
      <w:bCs/>
      <w:lang w:eastAsia="en-GB"/>
    </w:rPr>
  </w:style>
  <w:style w:type="paragraph" w:styleId="BodyText">
    <w:name w:val="Body Text"/>
    <w:basedOn w:val="Normal"/>
    <w:link w:val="BodyTextChar"/>
    <w:uiPriority w:val="1"/>
    <w:semiHidden/>
    <w:unhideWhenUsed/>
    <w:qFormat/>
    <w:rsid w:val="0087669A"/>
    <w:pPr>
      <w:widowControl w:val="0"/>
      <w:autoSpaceDE w:val="0"/>
      <w:autoSpaceDN w:val="0"/>
      <w:adjustRightInd w:val="0"/>
      <w:spacing w:after="0" w:line="240" w:lineRule="auto"/>
      <w:ind w:left="821" w:hanging="360"/>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1"/>
    <w:semiHidden/>
    <w:rsid w:val="0087669A"/>
    <w:rPr>
      <w:rFonts w:ascii="Arial" w:eastAsia="Times New Roman" w:hAnsi="Arial" w:cs="Arial"/>
      <w:sz w:val="20"/>
      <w:szCs w:val="20"/>
      <w:lang w:eastAsia="en-GB"/>
    </w:rPr>
  </w:style>
  <w:style w:type="paragraph" w:styleId="Header">
    <w:name w:val="header"/>
    <w:basedOn w:val="Normal"/>
    <w:link w:val="HeaderChar"/>
    <w:uiPriority w:val="99"/>
    <w:unhideWhenUsed/>
    <w:rsid w:val="00876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9A"/>
  </w:style>
  <w:style w:type="paragraph" w:styleId="Footer">
    <w:name w:val="footer"/>
    <w:basedOn w:val="Normal"/>
    <w:link w:val="FooterChar"/>
    <w:uiPriority w:val="99"/>
    <w:unhideWhenUsed/>
    <w:rsid w:val="00876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2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5ee045-3ac7-4b80-8677-7187da6dfc6f" xsi:nil="true"/>
    <lcf76f155ced4ddcb4097134ff3c332f xmlns="3c4a220e-a9d8-4f91-9ede-f1b95f26b1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4FB9838D2BD4A9842950818D1F157" ma:contentTypeVersion="15" ma:contentTypeDescription="Create a new document." ma:contentTypeScope="" ma:versionID="8fb183f044a151393448075c98424ee9">
  <xsd:schema xmlns:xsd="http://www.w3.org/2001/XMLSchema" xmlns:xs="http://www.w3.org/2001/XMLSchema" xmlns:p="http://schemas.microsoft.com/office/2006/metadata/properties" xmlns:ns2="3c4a220e-a9d8-4f91-9ede-f1b95f26b1e6" xmlns:ns3="005ee045-3ac7-4b80-8677-7187da6dfc6f" targetNamespace="http://schemas.microsoft.com/office/2006/metadata/properties" ma:root="true" ma:fieldsID="647d787259ed38f768153483b422e934" ns2:_="" ns3:_="">
    <xsd:import namespace="3c4a220e-a9d8-4f91-9ede-f1b95f26b1e6"/>
    <xsd:import namespace="005ee045-3ac7-4b80-8677-7187da6dfc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a220e-a9d8-4f91-9ede-f1b95f26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ee045-3ac7-4b80-8677-7187da6dfc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4f9cf0-b40a-456f-aa11-71bc9261a98f}" ma:internalName="TaxCatchAll" ma:showField="CatchAllData" ma:web="005ee045-3ac7-4b80-8677-7187da6df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42090-C80F-48CC-BA57-968E4280C9D0}">
  <ds:schemaRefs>
    <ds:schemaRef ds:uri="http://schemas.microsoft.com/office/2006/metadata/properties"/>
    <ds:schemaRef ds:uri="http://schemas.microsoft.com/office/infopath/2007/PartnerControls"/>
    <ds:schemaRef ds:uri="005ee045-3ac7-4b80-8677-7187da6dfc6f"/>
    <ds:schemaRef ds:uri="3c4a220e-a9d8-4f91-9ede-f1b95f26b1e6"/>
  </ds:schemaRefs>
</ds:datastoreItem>
</file>

<file path=customXml/itemProps2.xml><?xml version="1.0" encoding="utf-8"?>
<ds:datastoreItem xmlns:ds="http://schemas.openxmlformats.org/officeDocument/2006/customXml" ds:itemID="{3D4C8AED-547D-4DAC-AF44-9655AA23A7C7}">
  <ds:schemaRefs>
    <ds:schemaRef ds:uri="http://schemas.microsoft.com/sharepoint/v3/contenttype/forms"/>
  </ds:schemaRefs>
</ds:datastoreItem>
</file>

<file path=customXml/itemProps3.xml><?xml version="1.0" encoding="utf-8"?>
<ds:datastoreItem xmlns:ds="http://schemas.openxmlformats.org/officeDocument/2006/customXml" ds:itemID="{3C3D990D-7DB9-4403-A451-1EF3D24EE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a220e-a9d8-4f91-9ede-f1b95f26b1e6"/>
    <ds:schemaRef ds:uri="005ee045-3ac7-4b80-8677-7187da6df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Carla</dc:creator>
  <cp:keywords/>
  <dc:description/>
  <cp:lastModifiedBy>Brooks, Victoria</cp:lastModifiedBy>
  <cp:revision>3</cp:revision>
  <dcterms:created xsi:type="dcterms:W3CDTF">2025-02-21T12:19:00Z</dcterms:created>
  <dcterms:modified xsi:type="dcterms:W3CDTF">2025-02-25T13:20:00Z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0x010100DCB4FB9838D2BD4A9842950818D1F157</vt:lpwstr>
  </property>
  <property fmtid="{D5CDD505-2E9C-101B-9397-08002B2CF9AE}" pid="3" name="MediaServiceImageTags">
    <vt:lpwstr/>
  </property>
</Properties>
</file>