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552F6" w:rsidRDefault="00000000">
      <w:pPr>
        <w:pStyle w:val="Textkrper"/>
        <w:ind w:left="6925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19ED6E43" wp14:editId="07777777">
            <wp:extent cx="1765935" cy="78613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552F6" w:rsidRDefault="009552F6">
      <w:pPr>
        <w:pStyle w:val="Textkrper"/>
        <w:ind w:left="0"/>
        <w:rPr>
          <w:rFonts w:ascii="Times New Roman" w:hAnsi="Times New Roman"/>
          <w:sz w:val="20"/>
        </w:rPr>
      </w:pPr>
    </w:p>
    <w:p w14:paraId="5DAB6C7B" w14:textId="77777777" w:rsidR="009552F6" w:rsidRDefault="009552F6">
      <w:pPr>
        <w:pStyle w:val="Textkrper"/>
        <w:spacing w:before="3"/>
        <w:ind w:left="0"/>
        <w:rPr>
          <w:rFonts w:ascii="Times New Roman" w:hAnsi="Times New Roman"/>
          <w:sz w:val="24"/>
        </w:rPr>
      </w:pPr>
    </w:p>
    <w:p w14:paraId="3555C725" w14:textId="77777777" w:rsidR="009552F6" w:rsidRDefault="00000000">
      <w:pPr>
        <w:pStyle w:val="Titel"/>
      </w:pPr>
      <w:r>
        <w:t>JOB DESCRIPTION</w:t>
      </w:r>
      <w:r>
        <w:rPr>
          <w:spacing w:val="-52"/>
        </w:rPr>
        <w:t xml:space="preserve"> </w:t>
      </w:r>
    </w:p>
    <w:p w14:paraId="02EB378F" w14:textId="77777777" w:rsidR="009552F6" w:rsidRDefault="009552F6">
      <w:pPr>
        <w:pStyle w:val="Textkrper"/>
        <w:ind w:left="0"/>
        <w:rPr>
          <w:b/>
        </w:rPr>
      </w:pPr>
    </w:p>
    <w:p w14:paraId="6A05A809" w14:textId="77777777" w:rsidR="009552F6" w:rsidRDefault="009552F6">
      <w:pPr>
        <w:sectPr w:rsidR="009552F6">
          <w:pgSz w:w="11906" w:h="16838"/>
          <w:pgMar w:top="1420" w:right="560" w:bottom="280" w:left="760" w:header="0" w:footer="0" w:gutter="0"/>
          <w:cols w:space="720"/>
          <w:formProt w:val="0"/>
          <w:docGrid w:linePitch="100"/>
        </w:sectPr>
      </w:pPr>
    </w:p>
    <w:tbl>
      <w:tblPr>
        <w:tblW w:w="10336" w:type="dxa"/>
        <w:tblInd w:w="118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168"/>
        <w:gridCol w:w="5168"/>
      </w:tblGrid>
      <w:tr w:rsidR="009552F6" w14:paraId="60EF2DE2" w14:textId="77777777" w:rsidTr="11859F2F">
        <w:trPr>
          <w:trHeight w:val="537"/>
        </w:trPr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77FD2" w14:textId="77777777" w:rsidR="009552F6" w:rsidRDefault="00000000">
            <w:pPr>
              <w:pStyle w:val="TableParagraph"/>
              <w:spacing w:line="268" w:lineRule="exact"/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1"/>
              </w:rPr>
              <w:t xml:space="preserve"> </w:t>
            </w:r>
            <w:r>
              <w:t>Assistant Professor (Teaching Fellow) in Computer Science</w:t>
            </w:r>
          </w:p>
        </w:tc>
        <w:tc>
          <w:tcPr>
            <w:tcW w:w="5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EA258" w14:textId="77777777" w:rsidR="009552F6" w:rsidRDefault="00000000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Present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Grade:</w:t>
            </w:r>
          </w:p>
          <w:p w14:paraId="44B0A208" w14:textId="77777777" w:rsidR="009552F6" w:rsidRDefault="00000000">
            <w:pPr>
              <w:pStyle w:val="TableParagraph"/>
              <w:spacing w:line="249" w:lineRule="exact"/>
              <w:ind w:left="108"/>
            </w:pPr>
            <w:r>
              <w:t>8</w:t>
            </w:r>
          </w:p>
        </w:tc>
      </w:tr>
      <w:tr w:rsidR="009552F6" w14:paraId="2F371974" w14:textId="77777777" w:rsidTr="11859F2F">
        <w:trPr>
          <w:trHeight w:val="268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2FCE2" w14:textId="77777777" w:rsidR="009552F6" w:rsidRDefault="00000000">
            <w:pPr>
              <w:pStyle w:val="TableParagraph"/>
              <w:spacing w:line="248" w:lineRule="exact"/>
            </w:pPr>
            <w:r>
              <w:rPr>
                <w:b/>
              </w:rPr>
              <w:t>Department/College:</w:t>
            </w:r>
            <w:r>
              <w:rPr>
                <w:b/>
                <w:spacing w:val="-1"/>
              </w:rPr>
              <w:t xml:space="preserve"> </w:t>
            </w:r>
            <w:r>
              <w:t>Leipzig</w:t>
            </w:r>
          </w:p>
        </w:tc>
      </w:tr>
      <w:tr w:rsidR="009552F6" w14:paraId="50BEDB75" w14:textId="77777777" w:rsidTr="11859F2F">
        <w:trPr>
          <w:trHeight w:val="268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A866" w14:textId="77777777" w:rsidR="009552F6" w:rsidRDefault="00000000">
            <w:pPr>
              <w:pStyle w:val="TableParagraph"/>
              <w:spacing w:line="248" w:lineRule="exact"/>
            </w:pPr>
            <w:r>
              <w:rPr>
                <w:b/>
              </w:rPr>
              <w:t>Directly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to:</w:t>
            </w:r>
            <w:r>
              <w:rPr>
                <w:b/>
                <w:spacing w:val="1"/>
              </w:rPr>
              <w:t xml:space="preserve"> </w:t>
            </w:r>
            <w:r>
              <w:rPr>
                <w:bCs/>
                <w:spacing w:val="1"/>
              </w:rPr>
              <w:t xml:space="preserve">Academic </w:t>
            </w:r>
            <w:r>
              <w:rPr>
                <w:color w:val="161616"/>
              </w:rPr>
              <w:t>Dean</w:t>
            </w:r>
            <w:r>
              <w:rPr>
                <w:color w:val="161616"/>
                <w:spacing w:val="-2"/>
              </w:rPr>
              <w:t xml:space="preserve"> </w:t>
            </w:r>
            <w:r>
              <w:rPr>
                <w:color w:val="161616"/>
              </w:rPr>
              <w:t>of</w:t>
            </w:r>
            <w:r>
              <w:rPr>
                <w:color w:val="161616"/>
                <w:spacing w:val="-3"/>
              </w:rPr>
              <w:t xml:space="preserve"> </w:t>
            </w:r>
            <w:r>
              <w:rPr>
                <w:color w:val="161616"/>
              </w:rPr>
              <w:t>Lancaster</w:t>
            </w:r>
            <w:r>
              <w:rPr>
                <w:color w:val="161616"/>
                <w:spacing w:val="-1"/>
              </w:rPr>
              <w:t xml:space="preserve"> </w:t>
            </w:r>
            <w:r>
              <w:rPr>
                <w:color w:val="161616"/>
              </w:rPr>
              <w:t>University</w:t>
            </w:r>
            <w:r>
              <w:rPr>
                <w:color w:val="161616"/>
                <w:spacing w:val="-3"/>
              </w:rPr>
              <w:t xml:space="preserve"> </w:t>
            </w:r>
            <w:r>
              <w:rPr>
                <w:color w:val="161616"/>
              </w:rPr>
              <w:t>Leipzig</w:t>
            </w:r>
          </w:p>
        </w:tc>
      </w:tr>
      <w:tr w:rsidR="009552F6" w14:paraId="3763C38E" w14:textId="77777777" w:rsidTr="11859F2F">
        <w:trPr>
          <w:trHeight w:val="268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3C83D" w14:textId="77777777" w:rsidR="009552F6" w:rsidRDefault="00000000">
            <w:pPr>
              <w:pStyle w:val="TableParagraph"/>
              <w:spacing w:line="248" w:lineRule="exact"/>
            </w:pPr>
            <w:r>
              <w:rPr>
                <w:b/>
                <w:bCs/>
              </w:rPr>
              <w:t>Matrix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 xml:space="preserve">management: </w:t>
            </w:r>
            <w:r>
              <w:t>Head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SCC,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Lancaster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4"/>
              </w:rPr>
              <w:t xml:space="preserve"> </w:t>
            </w:r>
            <w:r>
              <w:t>Leipzig</w:t>
            </w:r>
          </w:p>
        </w:tc>
      </w:tr>
      <w:tr w:rsidR="009552F6" w14:paraId="72A529E3" w14:textId="77777777" w:rsidTr="11859F2F">
        <w:trPr>
          <w:trHeight w:val="269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46498" w14:textId="77777777" w:rsidR="009552F6" w:rsidRDefault="00000000">
            <w:pPr>
              <w:pStyle w:val="TableParagraph"/>
              <w:spacing w:line="249" w:lineRule="exact"/>
            </w:pPr>
            <w:r>
              <w:rPr>
                <w:b/>
              </w:rPr>
              <w:t>Supervisory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responsibility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for:</w:t>
            </w:r>
            <w:r>
              <w:rPr>
                <w:b/>
                <w:spacing w:val="-1"/>
              </w:rPr>
              <w:t xml:space="preserve"> </w:t>
            </w:r>
            <w:r>
              <w:t>N/A</w:t>
            </w:r>
          </w:p>
        </w:tc>
      </w:tr>
      <w:tr w:rsidR="009552F6" w14:paraId="7AC24C0D" w14:textId="77777777" w:rsidTr="11859F2F">
        <w:trPr>
          <w:trHeight w:val="268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BADDB" w14:textId="77777777" w:rsidR="009552F6" w:rsidRDefault="00000000">
            <w:pPr>
              <w:pStyle w:val="TableParagraph"/>
              <w:spacing w:before="6" w:line="242" w:lineRule="exact"/>
            </w:pPr>
            <w:r>
              <w:rPr>
                <w:b/>
              </w:rPr>
              <w:t>Contracting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role: </w:t>
            </w:r>
            <w:r>
              <w:t>Lancaster</w:t>
            </w:r>
            <w:r>
              <w:rPr>
                <w:spacing w:val="-4"/>
              </w:rPr>
              <w:t xml:space="preserve"> </w:t>
            </w:r>
            <w:r>
              <w:t>Leipzig</w:t>
            </w:r>
            <w:r>
              <w:rPr>
                <w:spacing w:val="-1"/>
              </w:rPr>
              <w:t xml:space="preserve"> </w:t>
            </w:r>
            <w:r>
              <w:t>GmbH</w:t>
            </w:r>
          </w:p>
        </w:tc>
      </w:tr>
      <w:tr w:rsidR="009552F6" w14:paraId="4C82C631" w14:textId="77777777" w:rsidTr="11859F2F">
        <w:trPr>
          <w:trHeight w:val="2118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9BBE3" w14:textId="77777777" w:rsidR="009552F6" w:rsidRDefault="009552F6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048F6B98" w14:textId="77777777" w:rsidR="009552F6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contacts</w:t>
            </w:r>
          </w:p>
          <w:p w14:paraId="757235D1" w14:textId="77777777" w:rsidR="009552F6" w:rsidRDefault="00000000">
            <w:pPr>
              <w:pStyle w:val="TableParagraph"/>
              <w:spacing w:before="121"/>
            </w:pPr>
            <w:r>
              <w:rPr>
                <w:b/>
              </w:rPr>
              <w:t>Internal:</w:t>
            </w:r>
            <w:r>
              <w:rPr>
                <w:b/>
                <w:spacing w:val="1"/>
              </w:rPr>
              <w:t xml:space="preserve"> </w:t>
            </w:r>
            <w:r>
              <w:t>Academic</w:t>
            </w:r>
            <w:r>
              <w:rPr>
                <w:spacing w:val="1"/>
              </w:rPr>
              <w:t xml:space="preserve"> </w:t>
            </w:r>
            <w:r>
              <w:t>colleagues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professional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>
              <w:rPr>
                <w:spacing w:val="1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Lancaster</w:t>
            </w:r>
            <w:r>
              <w:rPr>
                <w:spacing w:val="1"/>
              </w:rPr>
              <w:t xml:space="preserve"> </w:t>
            </w:r>
            <w:r>
              <w:t>University</w:t>
            </w:r>
            <w:r>
              <w:rPr>
                <w:spacing w:val="1"/>
              </w:rPr>
              <w:t xml:space="preserve"> </w:t>
            </w:r>
            <w:r>
              <w:t>Leipzig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SCC, UK.</w:t>
            </w:r>
          </w:p>
          <w:p w14:paraId="60DBB7E6" w14:textId="77777777" w:rsidR="009552F6" w:rsidRDefault="00000000">
            <w:pPr>
              <w:pStyle w:val="TableParagraph"/>
              <w:spacing w:before="122" w:line="235" w:lineRule="auto"/>
              <w:ind w:right="265"/>
            </w:pPr>
            <w:r>
              <w:rPr>
                <w:b/>
              </w:rPr>
              <w:t xml:space="preserve">External: </w:t>
            </w:r>
            <w:r>
              <w:t>Relevant research funding bodies and councils, professional bodies, academic and research networks,</w:t>
            </w:r>
            <w:r>
              <w:rPr>
                <w:spacing w:val="-47"/>
              </w:rPr>
              <w:t xml:space="preserve"> </w:t>
            </w:r>
            <w:r>
              <w:t>publishers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t>organisations,</w:t>
            </w:r>
            <w:r>
              <w:rPr>
                <w:spacing w:val="-2"/>
              </w:rPr>
              <w:t xml:space="preserve"> </w:t>
            </w:r>
            <w:r>
              <w:t>employers and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1"/>
              </w:rPr>
              <w:t xml:space="preserve"> </w:t>
            </w:r>
            <w:r>
              <w:t xml:space="preserve">organisations. </w:t>
            </w:r>
          </w:p>
        </w:tc>
      </w:tr>
      <w:tr w:rsidR="009552F6" w14:paraId="4CAB1FB8" w14:textId="77777777" w:rsidTr="11859F2F">
        <w:trPr>
          <w:trHeight w:val="3540"/>
        </w:trPr>
        <w:tc>
          <w:tcPr>
            <w:tcW w:w="10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3016C" w14:textId="0D2FF465" w:rsidR="009552F6" w:rsidRDefault="11859F2F">
            <w:pPr>
              <w:pStyle w:val="TableParagraph"/>
            </w:pPr>
            <w:r>
              <w:t xml:space="preserve">Lancaster University invites applications for one post of Assistant Professor (Teaching Fellow) in Computer Science to join its exciting campus in Leipzig, Germany. Located in one of Germany’s most vibrant, </w:t>
            </w:r>
            <w:proofErr w:type="spellStart"/>
            <w:r>
              <w:t>livable</w:t>
            </w:r>
            <w:proofErr w:type="spellEnd"/>
            <w:r>
              <w:t>, and attractive cities, the Leipzig campus offers the same high academic quality and fully rounded student experience as in the UK, with a strong strategic vision of excellence in teaching, research, and engagement.</w:t>
            </w:r>
          </w:p>
          <w:p w14:paraId="72A3D3EC" w14:textId="77777777" w:rsidR="009552F6" w:rsidRDefault="009552F6">
            <w:pPr>
              <w:pStyle w:val="TableParagraph"/>
            </w:pPr>
          </w:p>
          <w:p w14:paraId="70660444" w14:textId="1AE5D440" w:rsidR="009552F6" w:rsidRDefault="11859F2F">
            <w:pPr>
              <w:pStyle w:val="TableParagraph"/>
            </w:pPr>
            <w:r>
              <w:t xml:space="preserve">The position is </w:t>
            </w:r>
            <w:r w:rsidR="67DD2FC1">
              <w:t>teaching-</w:t>
            </w:r>
            <w:r w:rsidR="22277394">
              <w:t>focused,</w:t>
            </w:r>
            <w:r w:rsidR="67DD2FC1">
              <w:t xml:space="preserve"> and the appointed candidate is expected </w:t>
            </w:r>
            <w:r>
              <w:t>to</w:t>
            </w:r>
            <w:r w:rsidR="5C2DE142">
              <w:t xml:space="preserve"> deliver excellent teaching</w:t>
            </w:r>
            <w:r w:rsidR="6E954005">
              <w:t xml:space="preserve"> within</w:t>
            </w:r>
            <w:r>
              <w:t xml:space="preserve"> the taught programmes </w:t>
            </w:r>
            <w:r w:rsidR="66C549CC">
              <w:t xml:space="preserve">of </w:t>
            </w:r>
            <w:r w:rsidR="0FE87D26">
              <w:t>LU Leipzig’s</w:t>
            </w:r>
            <w:r w:rsidR="66C549CC">
              <w:t xml:space="preserve"> School of Computing and Communications</w:t>
            </w:r>
            <w:r>
              <w:t>, such as the BSc programmes in Computer Science and Software Engineering, a</w:t>
            </w:r>
            <w:r w:rsidR="1AC8F072">
              <w:t>s well as</w:t>
            </w:r>
            <w:r>
              <w:t xml:space="preserve"> the MSc programmes in Data Science and Cyber Security.</w:t>
            </w:r>
            <w:r w:rsidR="64F81FA6">
              <w:t xml:space="preserve"> </w:t>
            </w:r>
            <w:r w:rsidR="5EE8CC23">
              <w:t xml:space="preserve">Activities of the post include </w:t>
            </w:r>
            <w:r w:rsidR="0BDB0DBF">
              <w:t>curriculum design, assessment setting</w:t>
            </w:r>
            <w:r w:rsidR="7BB9FF21">
              <w:t xml:space="preserve">, </w:t>
            </w:r>
            <w:r w:rsidR="0BDB0DBF">
              <w:t>delivering lectures and seminars</w:t>
            </w:r>
            <w:r w:rsidR="10EFC7F4">
              <w:t>,</w:t>
            </w:r>
            <w:r w:rsidR="0BDB0DBF">
              <w:t xml:space="preserve"> a</w:t>
            </w:r>
            <w:r w:rsidR="20525CCA">
              <w:t>nd</w:t>
            </w:r>
            <w:r w:rsidR="0BDB0DBF">
              <w:t xml:space="preserve"> administrative responsibilities.</w:t>
            </w:r>
            <w:r w:rsidR="2EDBC31E">
              <w:t xml:space="preserve"> While teaching is the primary </w:t>
            </w:r>
            <w:r w:rsidR="64FD051D">
              <w:t xml:space="preserve">duty </w:t>
            </w:r>
            <w:r w:rsidR="2EDBC31E">
              <w:t>of this post, the position allows for</w:t>
            </w:r>
            <w:r w:rsidR="1250CD07">
              <w:t xml:space="preserve"> further</w:t>
            </w:r>
            <w:r w:rsidR="2EDBC31E">
              <w:t xml:space="preserve"> </w:t>
            </w:r>
            <w:r w:rsidR="749FA083">
              <w:t>scholar</w:t>
            </w:r>
            <w:r w:rsidR="288CE8EB">
              <w:t>ly</w:t>
            </w:r>
            <w:r w:rsidR="749FA083">
              <w:t xml:space="preserve"> activities</w:t>
            </w:r>
            <w:r w:rsidR="7792F85B">
              <w:t>.</w:t>
            </w:r>
          </w:p>
          <w:p w14:paraId="0D0B940D" w14:textId="77777777" w:rsidR="009552F6" w:rsidRDefault="009552F6">
            <w:pPr>
              <w:pStyle w:val="TableParagraph"/>
            </w:pPr>
          </w:p>
          <w:p w14:paraId="5BBF027D" w14:textId="2134601C" w:rsidR="009552F6" w:rsidRDefault="43AF0974">
            <w:pPr>
              <w:pStyle w:val="TableParagraph"/>
            </w:pPr>
            <w:r>
              <w:t>Candidates are expected to have a solid Computer Science background and</w:t>
            </w:r>
            <w:r w:rsidR="11859F2F">
              <w:t xml:space="preserve"> must h</w:t>
            </w:r>
            <w:r w:rsidR="34942D3A">
              <w:t xml:space="preserve">old </w:t>
            </w:r>
            <w:r w:rsidR="11859F2F">
              <w:t>a completed PhD degree</w:t>
            </w:r>
            <w:r w:rsidR="34632493">
              <w:t xml:space="preserve"> in Computer Science or a related </w:t>
            </w:r>
            <w:r w:rsidR="605B7A2F">
              <w:t>field</w:t>
            </w:r>
            <w:r w:rsidR="65949FCF">
              <w:t xml:space="preserve">. Ideally, applicants </w:t>
            </w:r>
            <w:r w:rsidR="701654B3">
              <w:t xml:space="preserve">already </w:t>
            </w:r>
            <w:r w:rsidR="11859F2F">
              <w:t xml:space="preserve">have </w:t>
            </w:r>
            <w:r w:rsidR="25E10CDB">
              <w:t>experience</w:t>
            </w:r>
            <w:r w:rsidR="11859F2F">
              <w:t xml:space="preserve"> in teaching and </w:t>
            </w:r>
            <w:r w:rsidR="02A851A1">
              <w:t xml:space="preserve">further </w:t>
            </w:r>
            <w:r w:rsidR="11859F2F">
              <w:t xml:space="preserve">engagement </w:t>
            </w:r>
            <w:r w:rsidR="043E740F">
              <w:t>beyond curricular activities.</w:t>
            </w:r>
            <w:r w:rsidR="11859F2F">
              <w:t xml:space="preserve"> </w:t>
            </w:r>
            <w:r w:rsidR="1171548B">
              <w:t xml:space="preserve">LU Leipzig is particularly interested in candidates </w:t>
            </w:r>
            <w:r w:rsidR="69E552D3">
              <w:t xml:space="preserve">who </w:t>
            </w:r>
            <w:proofErr w:type="gramStart"/>
            <w:r w:rsidR="1171548B">
              <w:t xml:space="preserve">are able </w:t>
            </w:r>
            <w:r w:rsidR="11859F2F">
              <w:t>to</w:t>
            </w:r>
            <w:proofErr w:type="gramEnd"/>
            <w:r w:rsidR="11859F2F">
              <w:t xml:space="preserve"> deliver excellent teaching at graduate and undergraduate level on a variety of Computer Science topics, such as </w:t>
            </w:r>
            <w:r w:rsidR="28E8D2AF">
              <w:t xml:space="preserve">programming languages, </w:t>
            </w:r>
            <w:r w:rsidR="11859F2F">
              <w:t>software engineering, distributed systems, or human-computer interaction.</w:t>
            </w:r>
          </w:p>
          <w:p w14:paraId="0E27B00A" w14:textId="77777777" w:rsidR="009552F6" w:rsidRDefault="009552F6">
            <w:pPr>
              <w:pStyle w:val="TableParagraph"/>
            </w:pPr>
          </w:p>
          <w:p w14:paraId="256E328D" w14:textId="615F4D8B" w:rsidR="009552F6" w:rsidRDefault="11859F2F">
            <w:pPr>
              <w:pStyle w:val="TableParagraph"/>
            </w:pPr>
            <w:r>
              <w:t>Colleagues joining LU Leipzig’s computer science department will be</w:t>
            </w:r>
            <w:r w:rsidR="2066551F">
              <w:t xml:space="preserve"> able to</w:t>
            </w:r>
            <w:r>
              <w:t xml:space="preserve"> </w:t>
            </w:r>
            <w:r w:rsidR="3D667F7C">
              <w:t>participate in p</w:t>
            </w:r>
            <w:r w:rsidR="37B442C5">
              <w:t xml:space="preserve">rofessional development opportunities </w:t>
            </w:r>
            <w:r w:rsidR="51B72460">
              <w:t xml:space="preserve">offered </w:t>
            </w:r>
            <w:r w:rsidR="37B442C5">
              <w:t>by Lancaster University (including the opportunity t</w:t>
            </w:r>
            <w:r w:rsidR="196FD3C1">
              <w:t xml:space="preserve">o obtain </w:t>
            </w:r>
            <w:r w:rsidR="5642BEB2">
              <w:t xml:space="preserve">a </w:t>
            </w:r>
            <w:r w:rsidR="79A48514">
              <w:t xml:space="preserve">Fellowship of </w:t>
            </w:r>
            <w:r w:rsidR="7A411088">
              <w:t>the Higher Education Academy)</w:t>
            </w:r>
            <w:r w:rsidR="65BD7F69">
              <w:t xml:space="preserve">. Moreover, </w:t>
            </w:r>
            <w:r w:rsidR="5D84EA5B">
              <w:t>Lancaster University Leipzig offers a collegial and multidisciplinary environment with enormous potential for collaboration and work on challenging real-world problems. T</w:t>
            </w:r>
            <w:r w:rsidR="65BD7F69">
              <w:t>he appointee will benefit from</w:t>
            </w:r>
            <w:r w:rsidR="37B442C5">
              <w:t xml:space="preserve"> </w:t>
            </w:r>
            <w:r>
              <w:t xml:space="preserve">an active research team in </w:t>
            </w:r>
            <w:r w:rsidR="26E7EEF6">
              <w:t>Leipzig and</w:t>
            </w:r>
            <w:r>
              <w:t xml:space="preserve"> will also have access to resources available at the School of Computing and Communications in the UK.</w:t>
            </w:r>
          </w:p>
          <w:p w14:paraId="60061E4C" w14:textId="77777777" w:rsidR="009552F6" w:rsidRDefault="009552F6">
            <w:pPr>
              <w:pStyle w:val="TableParagraph"/>
            </w:pPr>
          </w:p>
          <w:p w14:paraId="17323884" w14:textId="5358D11D" w:rsidR="009552F6" w:rsidRDefault="11859F2F">
            <w:pPr>
              <w:pStyle w:val="TableParagraph"/>
            </w:pPr>
            <w:r>
              <w:t xml:space="preserve">German language skills are not a prerequisite for the role, though </w:t>
            </w:r>
            <w:r w:rsidR="03A11A98">
              <w:t>Lancaster University</w:t>
            </w:r>
            <w:r>
              <w:t xml:space="preserve"> </w:t>
            </w:r>
            <w:r w:rsidR="549A5D55">
              <w:t>is</w:t>
            </w:r>
            <w:r>
              <w:t xml:space="preserve"> seeking applicants with an interest in making a long-term commitment to </w:t>
            </w:r>
            <w:r w:rsidR="116E94AE">
              <w:t>its campus</w:t>
            </w:r>
            <w:r>
              <w:t xml:space="preserve"> in Leipzig. Candidates from underrepresented groups are particularly encouraged to apply.</w:t>
            </w:r>
          </w:p>
          <w:p w14:paraId="44EAFD9C" w14:textId="77777777" w:rsidR="009552F6" w:rsidRDefault="009552F6" w:rsidP="11859F2F">
            <w:pPr>
              <w:pStyle w:val="TableParagraph"/>
            </w:pPr>
          </w:p>
          <w:p w14:paraId="24CB4B59" w14:textId="54E30C44" w:rsidR="443D9EBE" w:rsidRDefault="443D9EBE" w:rsidP="11859F2F">
            <w:r>
              <w:t>Please note this role is a full time, indefinite-duration appointment based in Leipzig, Germany. The contract is with Lancaster University Leipzig under German law.</w:t>
            </w:r>
          </w:p>
          <w:p w14:paraId="646FC6DB" w14:textId="292D78AC" w:rsidR="11859F2F" w:rsidRDefault="11859F2F" w:rsidP="11859F2F"/>
          <w:p w14:paraId="4852AD4D" w14:textId="74787FA5" w:rsidR="443D9EBE" w:rsidRDefault="443D9EBE" w:rsidP="001A2289">
            <w:pPr>
              <w:jc w:val="both"/>
            </w:pPr>
            <w:r>
              <w:lastRenderedPageBreak/>
              <w:t xml:space="preserve">Ideally, the appointed candidate </w:t>
            </w:r>
            <w:r w:rsidR="5530D603">
              <w:t>will start the post</w:t>
            </w:r>
            <w:r>
              <w:t xml:space="preserve"> at latest on 1st </w:t>
            </w:r>
            <w:r w:rsidR="25476CDC">
              <w:t>August</w:t>
            </w:r>
            <w:r>
              <w:t xml:space="preserve"> 202</w:t>
            </w:r>
            <w:r w:rsidR="32ADD9F0">
              <w:t>6</w:t>
            </w:r>
            <w:r>
              <w:t xml:space="preserve">. The opportunity is unique as the role </w:t>
            </w:r>
            <w:r w:rsidR="0057DF14">
              <w:t>become</w:t>
            </w:r>
            <w:r>
              <w:t>s permanent after a</w:t>
            </w:r>
            <w:r w:rsidR="01226CEF">
              <w:t xml:space="preserve"> relatively short</w:t>
            </w:r>
            <w:r>
              <w:t xml:space="preserve"> probationary</w:t>
            </w:r>
            <w:r w:rsidR="6DABC275">
              <w:t xml:space="preserve"> </w:t>
            </w:r>
            <w:r>
              <w:t>period</w:t>
            </w:r>
            <w:r w:rsidR="34062F90">
              <w:t xml:space="preserve"> of 6 </w:t>
            </w:r>
            <w:r w:rsidR="3A5FA223">
              <w:t>months and</w:t>
            </w:r>
            <w:r>
              <w:t xml:space="preserve"> offers the opportunity of being promoted to associate professor and professor in line with performance. We also support administrative procedures related to</w:t>
            </w:r>
            <w:r w:rsidR="55550004">
              <w:t xml:space="preserve"> </w:t>
            </w:r>
            <w:r>
              <w:t>settlement in Germany and assistance in finding accommodation, family integration (school registration for children), German training (for you and your partner), and</w:t>
            </w:r>
            <w:r w:rsidR="1FB2C2CA">
              <w:t xml:space="preserve"> </w:t>
            </w:r>
            <w:r>
              <w:t>relocation expenses.</w:t>
            </w:r>
          </w:p>
          <w:p w14:paraId="6121106D" w14:textId="636F6EEE" w:rsidR="11859F2F" w:rsidRDefault="11859F2F" w:rsidP="11859F2F"/>
          <w:p w14:paraId="10D7BBD6" w14:textId="1D785AB7" w:rsidR="443D9EBE" w:rsidRDefault="443D9EBE" w:rsidP="11859F2F">
            <w:r>
              <w:t>For an informal discussion about these roles please contact,</w:t>
            </w:r>
          </w:p>
          <w:p w14:paraId="4A032C8C" w14:textId="62131C3E" w:rsidR="443D9EBE" w:rsidRDefault="443D9EBE" w:rsidP="11859F2F">
            <w:r>
              <w:t xml:space="preserve">the Head of Department: Dr </w:t>
            </w:r>
            <w:r w:rsidR="66F183EB">
              <w:t>Guido Schmitz</w:t>
            </w:r>
            <w:r>
              <w:t xml:space="preserve"> (</w:t>
            </w:r>
            <w:hyperlink r:id="rId9">
              <w:r w:rsidR="4774EBFD" w:rsidRPr="11859F2F">
                <w:rPr>
                  <w:rStyle w:val="Hyperlink"/>
                </w:rPr>
                <w:t>g.schmitz</w:t>
              </w:r>
              <w:r w:rsidRPr="11859F2F">
                <w:rPr>
                  <w:rStyle w:val="Hyperlink"/>
                </w:rPr>
                <w:t>@lancaster.ac.uk</w:t>
              </w:r>
            </w:hyperlink>
            <w:r>
              <w:t>)</w:t>
            </w:r>
          </w:p>
          <w:p w14:paraId="413DEF72" w14:textId="55BA49EC" w:rsidR="11859F2F" w:rsidRDefault="11859F2F" w:rsidP="11859F2F"/>
          <w:p w14:paraId="7E0505C9" w14:textId="4C66364A" w:rsidR="443D9EBE" w:rsidRDefault="443D9EBE" w:rsidP="11859F2F">
            <w:r>
              <w:t xml:space="preserve">On submitting </w:t>
            </w:r>
            <w:r w:rsidR="23317989">
              <w:t>their</w:t>
            </w:r>
            <w:r>
              <w:t xml:space="preserve"> application candidates MUST attach a </w:t>
            </w:r>
            <w:r w:rsidR="7890E8F9">
              <w:t xml:space="preserve">teaching </w:t>
            </w:r>
            <w:r>
              <w:t xml:space="preserve">statement (maximum </w:t>
            </w:r>
            <w:r w:rsidR="791B8EF4">
              <w:t>4</w:t>
            </w:r>
            <w:r>
              <w:t xml:space="preserve"> pages) together with a cover letter and</w:t>
            </w:r>
            <w:r w:rsidR="758950FC">
              <w:t xml:space="preserve"> </w:t>
            </w:r>
            <w:r>
              <w:t>curriculum vitae</w:t>
            </w:r>
            <w:r w:rsidR="3B48D450">
              <w:t xml:space="preserve"> in PDF format. Applications </w:t>
            </w:r>
            <w:r w:rsidR="72DD91F5">
              <w:t xml:space="preserve">submitted </w:t>
            </w:r>
            <w:r w:rsidR="3B48D450">
              <w:t>without these documents will not be considered.</w:t>
            </w:r>
          </w:p>
          <w:p w14:paraId="542BBA87" w14:textId="00BA41CB" w:rsidR="11859F2F" w:rsidRDefault="11859F2F" w:rsidP="11859F2F"/>
          <w:p w14:paraId="6C547141" w14:textId="08E04FE5" w:rsidR="443D9EBE" w:rsidRDefault="443D9EBE" w:rsidP="11859F2F">
            <w:r>
              <w:t>Further details about Lancaster University Leipzig can be found at www.lancasterleipzig.de</w:t>
            </w:r>
          </w:p>
          <w:p w14:paraId="26C09546" w14:textId="79B10646" w:rsidR="443D9EBE" w:rsidRDefault="443D9EBE" w:rsidP="11859F2F">
            <w:r>
              <w:t>Further details Lancaster’s School of Computing and Communication (SCC) can be found at www.lancaster.ac.uk/scc</w:t>
            </w:r>
          </w:p>
          <w:p w14:paraId="4B94D5A5" w14:textId="77777777" w:rsidR="009552F6" w:rsidRDefault="009552F6" w:rsidP="11859F2F"/>
          <w:p w14:paraId="3DEEC669" w14:textId="77777777" w:rsidR="009552F6" w:rsidRDefault="009552F6" w:rsidP="11859F2F"/>
          <w:p w14:paraId="4B99056E" w14:textId="77777777" w:rsidR="009552F6" w:rsidRDefault="009552F6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14:paraId="10110210" w14:textId="77777777" w:rsidR="009552F6" w:rsidRDefault="00000000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Major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Duties:</w:t>
            </w:r>
          </w:p>
          <w:p w14:paraId="03FF771F" w14:textId="243FB963" w:rsidR="009552F6" w:rsidRDefault="2FB7A7BD">
            <w:pPr>
              <w:pStyle w:val="TableParagraph"/>
              <w:spacing w:before="1"/>
              <w:ind w:right="94"/>
              <w:jc w:val="both"/>
            </w:pPr>
            <w:r>
              <w:t xml:space="preserve">The </w:t>
            </w:r>
            <w:r w:rsidR="53AF18F1">
              <w:t xml:space="preserve">main </w:t>
            </w:r>
            <w:r>
              <w:t xml:space="preserve">duties of this role </w:t>
            </w:r>
            <w:r w:rsidR="4DBE7C04">
              <w:t>are to actively</w:t>
            </w:r>
            <w:r w:rsidR="11859F2F">
              <w:t xml:space="preserve"> participate</w:t>
            </w:r>
            <w:r w:rsidR="398D5532">
              <w:t xml:space="preserve"> </w:t>
            </w:r>
            <w:r w:rsidR="11859F2F">
              <w:t>in the University’s teaching activities in Computer Science, in leadership in</w:t>
            </w:r>
            <w:r w:rsidR="11859F2F">
              <w:rPr>
                <w:spacing w:val="-2"/>
              </w:rPr>
              <w:t xml:space="preserve"> </w:t>
            </w:r>
            <w:r w:rsidR="11859F2F">
              <w:t>the</w:t>
            </w:r>
            <w:r w:rsidR="11859F2F">
              <w:rPr>
                <w:spacing w:val="1"/>
              </w:rPr>
              <w:t xml:space="preserve"> </w:t>
            </w:r>
            <w:r w:rsidR="11859F2F">
              <w:t>context</w:t>
            </w:r>
            <w:r w:rsidR="11859F2F">
              <w:rPr>
                <w:spacing w:val="-3"/>
              </w:rPr>
              <w:t xml:space="preserve"> </w:t>
            </w:r>
            <w:r w:rsidR="11859F2F">
              <w:t>of</w:t>
            </w:r>
            <w:r w:rsidR="11859F2F">
              <w:rPr>
                <w:spacing w:val="-2"/>
              </w:rPr>
              <w:t xml:space="preserve"> </w:t>
            </w:r>
            <w:r w:rsidR="11859F2F">
              <w:t>our international</w:t>
            </w:r>
            <w:r w:rsidR="11859F2F">
              <w:rPr>
                <w:spacing w:val="-1"/>
              </w:rPr>
              <w:t xml:space="preserve"> </w:t>
            </w:r>
            <w:r w:rsidR="11859F2F">
              <w:t>taught portfolio,</w:t>
            </w:r>
            <w:r w:rsidR="11859F2F">
              <w:rPr>
                <w:spacing w:val="-2"/>
              </w:rPr>
              <w:t xml:space="preserve"> </w:t>
            </w:r>
            <w:r w:rsidR="11859F2F">
              <w:t>and</w:t>
            </w:r>
            <w:r w:rsidR="11859F2F">
              <w:rPr>
                <w:spacing w:val="-2"/>
              </w:rPr>
              <w:t xml:space="preserve"> in </w:t>
            </w:r>
            <w:r w:rsidR="11859F2F">
              <w:t>knowledge</w:t>
            </w:r>
            <w:r w:rsidR="11859F2F">
              <w:rPr>
                <w:spacing w:val="1"/>
              </w:rPr>
              <w:t xml:space="preserve"> </w:t>
            </w:r>
            <w:r w:rsidR="11859F2F">
              <w:t>exchange</w:t>
            </w:r>
            <w:r w:rsidR="11859F2F">
              <w:rPr>
                <w:spacing w:val="1"/>
              </w:rPr>
              <w:t xml:space="preserve"> </w:t>
            </w:r>
            <w:r w:rsidR="11859F2F">
              <w:t>and</w:t>
            </w:r>
            <w:r w:rsidR="11859F2F">
              <w:rPr>
                <w:spacing w:val="-5"/>
              </w:rPr>
              <w:t xml:space="preserve"> </w:t>
            </w:r>
            <w:r w:rsidR="11859F2F">
              <w:t>public engagement.</w:t>
            </w:r>
            <w:r w:rsidR="1FBF9B2C">
              <w:t xml:space="preserve"> More specifically, th</w:t>
            </w:r>
            <w:r w:rsidR="1885304F">
              <w:t>e activities include:</w:t>
            </w:r>
          </w:p>
          <w:tbl>
            <w:tblPr>
              <w:tblW w:w="10336" w:type="dxa"/>
              <w:tblLayout w:type="fixed"/>
              <w:tblLook w:val="0000" w:firstRow="0" w:lastRow="0" w:firstColumn="0" w:lastColumn="0" w:noHBand="0" w:noVBand="0"/>
            </w:tblPr>
            <w:tblGrid>
              <w:gridCol w:w="10336"/>
            </w:tblGrid>
            <w:tr w:rsidR="009552F6" w14:paraId="689BFB46" w14:textId="77777777">
              <w:trPr>
                <w:trHeight w:val="3467"/>
              </w:trPr>
              <w:tc>
                <w:tcPr>
                  <w:tcW w:w="10336" w:type="dxa"/>
                </w:tcPr>
                <w:p w14:paraId="19C35AEE" w14:textId="77777777" w:rsidR="009552F6" w:rsidRDefault="00000000">
                  <w:pPr>
                    <w:ind w:right="686"/>
                  </w:pPr>
                  <w:r>
                    <w:rPr>
                      <w:spacing w:val="-1"/>
                    </w:rPr>
                    <w:t>1. 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rPr>
                      <w:spacing w:val="-1"/>
                    </w:rPr>
                    <w:t>individually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1"/>
                    </w:rPr>
                    <w:t>or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collaboratively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develop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and contribute to a leading taught programme in the field of Computer Science.</w:t>
                  </w:r>
                  <w:r>
                    <w:rPr>
                      <w:spacing w:val="-4"/>
                    </w:rPr>
                    <w:t xml:space="preserve"> </w:t>
                  </w:r>
                </w:p>
                <w:p w14:paraId="5E975380" w14:textId="77777777" w:rsidR="009552F6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Teach undergraduate and/or postgraduate courses delivered by the University, and associated programmes offered by the </w:t>
                  </w:r>
                  <w:proofErr w:type="gramStart"/>
                  <w:r>
                    <w:rPr>
                      <w:color w:val="000000"/>
                    </w:rPr>
                    <w:t>School</w:t>
                  </w:r>
                  <w:proofErr w:type="gramEnd"/>
                  <w:r>
                    <w:rPr>
                      <w:color w:val="000000"/>
                    </w:rPr>
                    <w:t>, to a very high standard.</w:t>
                  </w:r>
                </w:p>
                <w:p w14:paraId="4539CB6A" w14:textId="77777777" w:rsidR="009552F6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Contribute to programme design and delivery by developing practice-focused content, adopting innovative teaching styles, and designing and delivering effective assessments.  </w:t>
                  </w:r>
                </w:p>
                <w:p w14:paraId="3D28287B" w14:textId="77777777" w:rsidR="009552F6" w:rsidRDefault="00000000">
                  <w:pPr>
                    <w:pStyle w:val="Listenabsatz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</w:pPr>
                  <w:r>
                    <w:rPr>
                      <w:color w:val="000000"/>
                    </w:rPr>
                    <w:t>Engage actively in the University by, for example, attending seminars regularly and meeting with the seminar speakers and research visitors to the department.</w:t>
                  </w:r>
                </w:p>
                <w:p w14:paraId="59B07D4D" w14:textId="77777777" w:rsidR="009552F6" w:rsidRDefault="00000000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Engage in professional activities such as organising conferences, editing journals, committee membership and professional body accreditation.</w:t>
                  </w:r>
                </w:p>
                <w:p w14:paraId="23147278" w14:textId="77777777" w:rsidR="009552F6" w:rsidRDefault="00000000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If </w:t>
                  </w:r>
                  <w:r>
                    <w:rPr>
                      <w:spacing w:val="-1"/>
                      <w:sz w:val="22"/>
                      <w:szCs w:val="22"/>
                    </w:rPr>
                    <w:t>not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already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qualified, the candidate should be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willing to</w:t>
                  </w:r>
                  <w:r>
                    <w:rPr>
                      <w:spacing w:val="1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undertake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>appropriate</w:t>
                  </w:r>
                  <w:r>
                    <w:rPr>
                      <w:spacing w:val="-2"/>
                      <w:sz w:val="22"/>
                      <w:szCs w:val="22"/>
                    </w:rPr>
                    <w:t xml:space="preserve">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training </w:t>
                  </w:r>
                  <w:r>
                    <w:rPr>
                      <w:sz w:val="22"/>
                      <w:szCs w:val="22"/>
                    </w:rPr>
                    <w:t xml:space="preserve">in </w:t>
                  </w:r>
                  <w:r>
                    <w:rPr>
                      <w:spacing w:val="-1"/>
                      <w:sz w:val="22"/>
                      <w:szCs w:val="22"/>
                    </w:rPr>
                    <w:t xml:space="preserve">teaching such as </w:t>
                  </w:r>
                  <w:r>
                    <w:rPr>
                      <w:spacing w:val="-2"/>
                      <w:sz w:val="22"/>
                      <w:szCs w:val="22"/>
                    </w:rPr>
                    <w:t>the</w:t>
                  </w:r>
                  <w:r>
                    <w:rPr>
                      <w:sz w:val="22"/>
                      <w:szCs w:val="22"/>
                    </w:rPr>
                    <w:t xml:space="preserve"> Postgraduate Certificate of Educational Practice.</w:t>
                  </w:r>
                </w:p>
                <w:p w14:paraId="3D4F2320" w14:textId="77777777" w:rsidR="009552F6" w:rsidRDefault="00000000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Develop knowledge exchange activities by, for example, establishing research and/or educational links with industry and influencing public policy.</w:t>
                  </w:r>
                </w:p>
                <w:p w14:paraId="18F4D8D2" w14:textId="77777777" w:rsidR="009552F6" w:rsidRDefault="00000000">
                  <w:pPr>
                    <w:pStyle w:val="Default"/>
                    <w:widowControl w:val="0"/>
                    <w:numPr>
                      <w:ilvl w:val="0"/>
                      <w:numId w:val="2"/>
                    </w:numPr>
                    <w:spacing w:before="80"/>
                    <w:ind w:left="765" w:right="686" w:hanging="3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Undertake other academic duties as required by Head of Department or Academic Dean.</w:t>
                  </w:r>
                </w:p>
                <w:p w14:paraId="1299C43A" w14:textId="77777777" w:rsidR="009552F6" w:rsidRDefault="009552F6">
                  <w:pPr>
                    <w:pStyle w:val="Default"/>
                    <w:widowControl w:val="0"/>
                    <w:ind w:left="410" w:right="686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A2B7020" w14:textId="77777777" w:rsidR="009552F6" w:rsidRDefault="00000000">
            <w:pPr>
              <w:ind w:left="220" w:right="686"/>
            </w:pPr>
            <w:r>
              <w:t>2. Citizenship, expectations of the role-holder in terms of their engagement with students, staff, partners, and sponsors.</w:t>
            </w:r>
          </w:p>
          <w:p w14:paraId="118C451D" w14:textId="59F465C1" w:rsidR="009552F6" w:rsidRDefault="11859F2F">
            <w:pPr>
              <w:pStyle w:val="Listenabsatz"/>
              <w:numPr>
                <w:ilvl w:val="1"/>
                <w:numId w:val="1"/>
              </w:numPr>
              <w:tabs>
                <w:tab w:val="left" w:pos="1107"/>
                <w:tab w:val="left" w:pos="1108"/>
              </w:tabs>
              <w:spacing w:before="80"/>
              <w:ind w:left="1106" w:right="686"/>
            </w:pPr>
            <w:r>
              <w:t>To carry out specific departmental/wider institutional roles and functions as may be reasonably</w:t>
            </w:r>
            <w:r>
              <w:rPr>
                <w:spacing w:val="-47"/>
              </w:rPr>
              <w:t xml:space="preserve"> </w:t>
            </w:r>
            <w:r>
              <w:t>required.</w:t>
            </w:r>
          </w:p>
          <w:p w14:paraId="2D2E8C99" w14:textId="77777777" w:rsidR="009552F6" w:rsidRDefault="00000000">
            <w:pPr>
              <w:pStyle w:val="Listenabsatz"/>
              <w:numPr>
                <w:ilvl w:val="1"/>
                <w:numId w:val="1"/>
              </w:numPr>
              <w:tabs>
                <w:tab w:val="left" w:pos="1107"/>
                <w:tab w:val="left" w:pos="1108"/>
              </w:tabs>
              <w:spacing w:before="80"/>
              <w:ind w:left="1106" w:right="686"/>
            </w:pPr>
            <w:r>
              <w:t>Engage fully in departmental activity, as evidenced by participation in meetings, seminars, recruitment events, and</w:t>
            </w:r>
            <w:r>
              <w:rPr>
                <w:spacing w:val="-1"/>
              </w:rPr>
              <w:t xml:space="preserve"> </w:t>
            </w:r>
            <w:r>
              <w:t>running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department.</w:t>
            </w:r>
          </w:p>
          <w:p w14:paraId="1436A9A9" w14:textId="61010A34" w:rsidR="009552F6" w:rsidRDefault="11859F2F">
            <w:pPr>
              <w:pStyle w:val="Listenabsatz"/>
              <w:numPr>
                <w:ilvl w:val="1"/>
                <w:numId w:val="1"/>
              </w:numPr>
            </w:pPr>
            <w:r>
              <w:t>To participate in continuing professional development, through seminars, conference attendance</w:t>
            </w:r>
            <w:r w:rsidR="3EAF9372">
              <w:t>,</w:t>
            </w:r>
            <w:r>
              <w:t xml:space="preserve"> and engaging in training programmes offered by the University.</w:t>
            </w:r>
          </w:p>
          <w:p w14:paraId="598010A8" w14:textId="77777777" w:rsidR="009552F6" w:rsidRDefault="00000000">
            <w:pPr>
              <w:pStyle w:val="Listenabsatz"/>
              <w:numPr>
                <w:ilvl w:val="1"/>
                <w:numId w:val="1"/>
              </w:numPr>
            </w:pPr>
            <w:r>
              <w:t>To actively strive towards helping meet departmental and institutional objectives.</w:t>
            </w:r>
          </w:p>
          <w:p w14:paraId="29DFDA74" w14:textId="77777777" w:rsidR="009552F6" w:rsidRDefault="00000000">
            <w:pPr>
              <w:pStyle w:val="Listenabsatz"/>
              <w:numPr>
                <w:ilvl w:val="1"/>
                <w:numId w:val="1"/>
              </w:numPr>
            </w:pPr>
            <w:r>
              <w:t>To undertake such other duties as may be reasonably requested and that are commensurate with the grade of the post.</w:t>
            </w:r>
          </w:p>
          <w:p w14:paraId="2E3AFF6A" w14:textId="77777777" w:rsidR="009552F6" w:rsidRDefault="00000000">
            <w:pPr>
              <w:pStyle w:val="Listenabsatz"/>
              <w:numPr>
                <w:ilvl w:val="1"/>
                <w:numId w:val="1"/>
              </w:numPr>
            </w:pPr>
            <w:r>
              <w:t>To behave in a manner in line with the University’s stated values.</w:t>
            </w:r>
          </w:p>
          <w:p w14:paraId="4DDBEF00" w14:textId="77777777" w:rsidR="009552F6" w:rsidRDefault="009552F6"/>
          <w:p w14:paraId="491BFB6B" w14:textId="77777777" w:rsidR="009552F6" w:rsidRDefault="00000000">
            <w:r>
              <w:t>Please note that this role a full-time indefinite post based in Leipzig, Germany. The contracting employer for this role is Lancaster Leipzig GmbH</w:t>
            </w:r>
          </w:p>
          <w:p w14:paraId="3461D779" w14:textId="77777777" w:rsidR="009552F6" w:rsidRDefault="009552F6"/>
        </w:tc>
      </w:tr>
    </w:tbl>
    <w:p w14:paraId="3CF2D8B6" w14:textId="77777777" w:rsidR="009552F6" w:rsidRDefault="009552F6">
      <w:pPr>
        <w:tabs>
          <w:tab w:val="left" w:pos="682"/>
          <w:tab w:val="left" w:pos="683"/>
        </w:tabs>
        <w:spacing w:before="130"/>
        <w:ind w:right="225"/>
      </w:pPr>
    </w:p>
    <w:sectPr w:rsidR="009552F6">
      <w:type w:val="continuous"/>
      <w:pgSz w:w="11906" w:h="16838"/>
      <w:pgMar w:top="1420" w:right="560" w:bottom="280" w:left="76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BEC7"/>
    <w:multiLevelType w:val="multilevel"/>
    <w:tmpl w:val="11A8CA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2C66D6"/>
    <w:multiLevelType w:val="multilevel"/>
    <w:tmpl w:val="44B41C4C"/>
    <w:lvl w:ilvl="0">
      <w:start w:val="1"/>
      <w:numFmt w:val="bullet"/>
      <w:lvlText w:val=""/>
      <w:lvlJc w:val="left"/>
      <w:pPr>
        <w:tabs>
          <w:tab w:val="num" w:pos="0"/>
        </w:tabs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D63069"/>
    <w:multiLevelType w:val="multilevel"/>
    <w:tmpl w:val="A420E2A6"/>
    <w:lvl w:ilvl="0">
      <w:start w:val="2"/>
      <w:numFmt w:val="decimal"/>
      <w:lvlText w:val="%1."/>
      <w:lvlJc w:val="left"/>
      <w:pPr>
        <w:tabs>
          <w:tab w:val="num" w:pos="0"/>
        </w:tabs>
        <w:ind w:left="682" w:hanging="462"/>
      </w:pPr>
      <w:rPr>
        <w:rFonts w:ascii="Calibri" w:eastAsia="Calibri" w:hAnsi="Calibri" w:cs="Calibri"/>
        <w:w w:val="100"/>
        <w:sz w:val="22"/>
        <w:szCs w:val="22"/>
        <w:lang w:val="en-GB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7" w:hanging="425"/>
      </w:pPr>
      <w:rPr>
        <w:rFonts w:ascii="Symbol" w:hAnsi="Symbol" w:cs="Symbol" w:hint="default"/>
        <w:w w:val="100"/>
        <w:sz w:val="22"/>
        <w:szCs w:val="22"/>
        <w:lang w:val="en-GB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4" w:hanging="425"/>
      </w:pPr>
      <w:rPr>
        <w:rFonts w:ascii="Symbol" w:hAnsi="Symbol" w:cs="Symbol" w:hint="default"/>
        <w:lang w:val="en-GB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08" w:hanging="425"/>
      </w:pPr>
      <w:rPr>
        <w:rFonts w:ascii="Symbol" w:hAnsi="Symbol" w:cs="Symbol" w:hint="default"/>
        <w:lang w:val="en-GB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62" w:hanging="425"/>
      </w:pPr>
      <w:rPr>
        <w:rFonts w:ascii="Symbol" w:hAnsi="Symbol" w:cs="Symbol" w:hint="default"/>
        <w:lang w:val="en-GB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6" w:hanging="425"/>
      </w:pPr>
      <w:rPr>
        <w:rFonts w:ascii="Symbol" w:hAnsi="Symbol" w:cs="Symbol" w:hint="default"/>
        <w:lang w:val="en-GB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0" w:hanging="425"/>
      </w:pPr>
      <w:rPr>
        <w:rFonts w:ascii="Symbol" w:hAnsi="Symbol" w:cs="Symbol" w:hint="default"/>
        <w:lang w:val="en-GB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4" w:hanging="425"/>
      </w:pPr>
      <w:rPr>
        <w:rFonts w:ascii="Symbol" w:hAnsi="Symbol" w:cs="Symbol" w:hint="default"/>
        <w:lang w:val="en-GB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8" w:hanging="425"/>
      </w:pPr>
      <w:rPr>
        <w:rFonts w:ascii="Symbol" w:hAnsi="Symbol" w:cs="Symbol" w:hint="default"/>
        <w:lang w:val="en-GB" w:eastAsia="en-US" w:bidi="ar-SA"/>
      </w:rPr>
    </w:lvl>
  </w:abstractNum>
  <w:num w:numId="1" w16cid:durableId="1262491005">
    <w:abstractNumId w:val="2"/>
  </w:num>
  <w:num w:numId="2" w16cid:durableId="2123188517">
    <w:abstractNumId w:val="1"/>
  </w:num>
  <w:num w:numId="3" w16cid:durableId="57809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DF14"/>
    <w:rsid w:val="000A5909"/>
    <w:rsid w:val="001A2289"/>
    <w:rsid w:val="0057DF14"/>
    <w:rsid w:val="006FE1B4"/>
    <w:rsid w:val="00821F8B"/>
    <w:rsid w:val="009552F6"/>
    <w:rsid w:val="01226CEF"/>
    <w:rsid w:val="015ABFD4"/>
    <w:rsid w:val="0240B42E"/>
    <w:rsid w:val="0278E24D"/>
    <w:rsid w:val="02A851A1"/>
    <w:rsid w:val="03A11A98"/>
    <w:rsid w:val="043E740F"/>
    <w:rsid w:val="04F95AC9"/>
    <w:rsid w:val="05BC5C80"/>
    <w:rsid w:val="099B9B4D"/>
    <w:rsid w:val="09A219E7"/>
    <w:rsid w:val="0A6EAA1B"/>
    <w:rsid w:val="0BDB0DBF"/>
    <w:rsid w:val="0EFC1B56"/>
    <w:rsid w:val="0FE87D26"/>
    <w:rsid w:val="10069F47"/>
    <w:rsid w:val="10EFC7F4"/>
    <w:rsid w:val="116E94AE"/>
    <w:rsid w:val="1171548B"/>
    <w:rsid w:val="11859F2F"/>
    <w:rsid w:val="1239B6E8"/>
    <w:rsid w:val="1250CD07"/>
    <w:rsid w:val="14925425"/>
    <w:rsid w:val="1568D1C2"/>
    <w:rsid w:val="17B44216"/>
    <w:rsid w:val="1885304F"/>
    <w:rsid w:val="196FD3C1"/>
    <w:rsid w:val="1A58D76D"/>
    <w:rsid w:val="1AC8F072"/>
    <w:rsid w:val="1CAA4A61"/>
    <w:rsid w:val="1DC40AD7"/>
    <w:rsid w:val="1E0D88F4"/>
    <w:rsid w:val="1E512018"/>
    <w:rsid w:val="1FB2C2CA"/>
    <w:rsid w:val="1FBF9B2C"/>
    <w:rsid w:val="20525CCA"/>
    <w:rsid w:val="2066551F"/>
    <w:rsid w:val="22277394"/>
    <w:rsid w:val="23317989"/>
    <w:rsid w:val="243211B4"/>
    <w:rsid w:val="25476CDC"/>
    <w:rsid w:val="25E10CDB"/>
    <w:rsid w:val="26E7EEF6"/>
    <w:rsid w:val="2851D103"/>
    <w:rsid w:val="288CE8EB"/>
    <w:rsid w:val="28A25611"/>
    <w:rsid w:val="28E8D2AF"/>
    <w:rsid w:val="2A993E9B"/>
    <w:rsid w:val="2CAC0E75"/>
    <w:rsid w:val="2E7EA886"/>
    <w:rsid w:val="2EDBC31E"/>
    <w:rsid w:val="2FB7A7BD"/>
    <w:rsid w:val="30003A11"/>
    <w:rsid w:val="30676C81"/>
    <w:rsid w:val="32ADD9F0"/>
    <w:rsid w:val="34062F90"/>
    <w:rsid w:val="34632493"/>
    <w:rsid w:val="34942D3A"/>
    <w:rsid w:val="34DC0C5C"/>
    <w:rsid w:val="366EBDD7"/>
    <w:rsid w:val="36D0C14E"/>
    <w:rsid w:val="36D312D7"/>
    <w:rsid w:val="37B442C5"/>
    <w:rsid w:val="398D5532"/>
    <w:rsid w:val="3A5FA223"/>
    <w:rsid w:val="3B48D450"/>
    <w:rsid w:val="3C2DDC29"/>
    <w:rsid w:val="3D667F7C"/>
    <w:rsid w:val="3EAF9372"/>
    <w:rsid w:val="40DE7865"/>
    <w:rsid w:val="412BDD85"/>
    <w:rsid w:val="41E8EA75"/>
    <w:rsid w:val="424506E1"/>
    <w:rsid w:val="425BD939"/>
    <w:rsid w:val="43AF0974"/>
    <w:rsid w:val="443D9EBE"/>
    <w:rsid w:val="44D383CB"/>
    <w:rsid w:val="461B2771"/>
    <w:rsid w:val="472EEC9D"/>
    <w:rsid w:val="4774EBFD"/>
    <w:rsid w:val="481B73DB"/>
    <w:rsid w:val="49DF41CD"/>
    <w:rsid w:val="4B64B681"/>
    <w:rsid w:val="4C587AFA"/>
    <w:rsid w:val="4D7E741A"/>
    <w:rsid w:val="4DBE7C04"/>
    <w:rsid w:val="51B72460"/>
    <w:rsid w:val="52A4C386"/>
    <w:rsid w:val="532D7678"/>
    <w:rsid w:val="53AF18F1"/>
    <w:rsid w:val="542DD8CE"/>
    <w:rsid w:val="5497CA46"/>
    <w:rsid w:val="549A5D55"/>
    <w:rsid w:val="5530D603"/>
    <w:rsid w:val="55550004"/>
    <w:rsid w:val="5642BEB2"/>
    <w:rsid w:val="5C2DE142"/>
    <w:rsid w:val="5C55D69C"/>
    <w:rsid w:val="5CF96C83"/>
    <w:rsid w:val="5D84EA5B"/>
    <w:rsid w:val="5D934DF0"/>
    <w:rsid w:val="5EE8CC23"/>
    <w:rsid w:val="605B7A2F"/>
    <w:rsid w:val="611DA26D"/>
    <w:rsid w:val="64F81FA6"/>
    <w:rsid w:val="64FD051D"/>
    <w:rsid w:val="65743FB5"/>
    <w:rsid w:val="65949FCF"/>
    <w:rsid w:val="65BD7F69"/>
    <w:rsid w:val="6613D8FA"/>
    <w:rsid w:val="6667AC25"/>
    <w:rsid w:val="66C549CC"/>
    <w:rsid w:val="66F183EB"/>
    <w:rsid w:val="670E1D64"/>
    <w:rsid w:val="67DD2FC1"/>
    <w:rsid w:val="689444E2"/>
    <w:rsid w:val="69E552D3"/>
    <w:rsid w:val="6B04A5A0"/>
    <w:rsid w:val="6BEC75BB"/>
    <w:rsid w:val="6C9FF0C6"/>
    <w:rsid w:val="6DABC275"/>
    <w:rsid w:val="6E954005"/>
    <w:rsid w:val="6F17BD5D"/>
    <w:rsid w:val="701654B3"/>
    <w:rsid w:val="7255FBB6"/>
    <w:rsid w:val="72DD91F5"/>
    <w:rsid w:val="73D65548"/>
    <w:rsid w:val="73E3DF7D"/>
    <w:rsid w:val="73F7843F"/>
    <w:rsid w:val="749FA083"/>
    <w:rsid w:val="758950FC"/>
    <w:rsid w:val="7693BA63"/>
    <w:rsid w:val="7792F85B"/>
    <w:rsid w:val="7890E8F9"/>
    <w:rsid w:val="791B8EF4"/>
    <w:rsid w:val="7932E69E"/>
    <w:rsid w:val="79A48514"/>
    <w:rsid w:val="7A411088"/>
    <w:rsid w:val="7A789A2D"/>
    <w:rsid w:val="7B487566"/>
    <w:rsid w:val="7BB9F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AC0FB"/>
  <w15:docId w15:val="{CC6064AA-F69B-4DD8-BAD1-2C6A6DA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  <w:rPr>
      <w:rFonts w:cs="Calibri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krperZchn">
    <w:name w:val="Textkörper Zchn"/>
    <w:basedOn w:val="Absatz-Standardschriftart"/>
    <w:link w:val="Textkrper"/>
    <w:uiPriority w:val="1"/>
    <w:qFormat/>
    <w:rsid w:val="00AD5366"/>
    <w:rPr>
      <w:rFonts w:ascii="Calibri" w:eastAsia="Calibri" w:hAnsi="Calibri" w:cs="Calibri"/>
      <w:lang w:val="en-GB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rFonts w:ascii="Calibri" w:eastAsia="Calibri" w:hAnsi="Calibri" w:cs="Calibri"/>
      <w:sz w:val="20"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4F52AF"/>
    <w:rPr>
      <w:rFonts w:ascii="Calibri" w:eastAsia="Calibri" w:hAnsi="Calibri" w:cs="Calibri"/>
      <w:b/>
      <w:bCs/>
      <w:sz w:val="20"/>
      <w:szCs w:val="20"/>
      <w:lang w:val="en-GB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link w:val="TextkrperZchn"/>
    <w:uiPriority w:val="1"/>
    <w:qFormat/>
    <w:pPr>
      <w:ind w:left="1107"/>
    </w:p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Titel">
    <w:name w:val="Title"/>
    <w:basedOn w:val="Standard"/>
    <w:uiPriority w:val="1"/>
    <w:qFormat/>
    <w:pPr>
      <w:spacing w:before="52"/>
      <w:ind w:left="4309" w:right="4505"/>
      <w:jc w:val="center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  <w:pPr>
      <w:spacing w:before="121"/>
      <w:ind w:left="1107" w:hanging="425"/>
    </w:pPr>
  </w:style>
  <w:style w:type="paragraph" w:customStyle="1" w:styleId="TableParagraph">
    <w:name w:val="Table Paragraph"/>
    <w:basedOn w:val="Standard"/>
    <w:uiPriority w:val="1"/>
    <w:qFormat/>
    <w:pPr>
      <w:ind w:left="107"/>
    </w:pPr>
  </w:style>
  <w:style w:type="paragraph" w:customStyle="1" w:styleId="Default">
    <w:name w:val="Default"/>
    <w:qFormat/>
    <w:rsid w:val="000B6FC0"/>
    <w:rPr>
      <w:rFonts w:ascii="Calibri" w:eastAsia="Calibri" w:hAnsi="Calibri" w:cs="Calibri"/>
      <w:color w:val="000000"/>
      <w:sz w:val="24"/>
      <w:szCs w:val="24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Pr>
      <w:sz w:val="20"/>
      <w:szCs w:val="20"/>
    </w:rPr>
  </w:style>
  <w:style w:type="paragraph" w:styleId="berarbeitung">
    <w:name w:val="Revision"/>
    <w:uiPriority w:val="99"/>
    <w:semiHidden/>
    <w:qFormat/>
    <w:rsid w:val="004F52AF"/>
    <w:rPr>
      <w:rFonts w:cs="Calibri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4F52AF"/>
    <w:rPr>
      <w:b/>
      <w:bCs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g.schmitz@lanca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6A0A267F898468073E6F40723BD9E" ma:contentTypeVersion="15" ma:contentTypeDescription="Create a new document." ma:contentTypeScope="" ma:versionID="6b3c0e0a62e704dcd06b59f816a20dc2">
  <xsd:schema xmlns:xsd="http://www.w3.org/2001/XMLSchema" xmlns:xs="http://www.w3.org/2001/XMLSchema" xmlns:p="http://schemas.microsoft.com/office/2006/metadata/properties" xmlns:ns2="d91390e3-a6bf-499a-9598-8b41901f7f13" xmlns:ns3="09f2990d-2c47-4279-92b8-fef5809e4b79" targetNamespace="http://schemas.microsoft.com/office/2006/metadata/properties" ma:root="true" ma:fieldsID="81d251431555008145476c49c85b0d89" ns2:_="" ns3:_="">
    <xsd:import namespace="d91390e3-a6bf-499a-9598-8b41901f7f13"/>
    <xsd:import namespace="09f2990d-2c47-4279-92b8-fef5809e4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90e3-a6bf-499a-9598-8b41901f7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990d-2c47-4279-92b8-fef5809e4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7D6A76-5B2C-45D5-B31C-D5321CA11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390e3-a6bf-499a-9598-8b41901f7f13"/>
    <ds:schemaRef ds:uri="09f2990d-2c47-4279-92b8-fef5809e4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7006C-4D1B-4BA3-B7CE-EDFB5ED98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8644C-7E8D-4335-9359-718927A600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1016</Words>
  <Characters>5792</Characters>
  <Application>Microsoft Office Word</Application>
  <DocSecurity>0</DocSecurity>
  <Lines>48</Lines>
  <Paragraphs>13</Paragraphs>
  <ScaleCrop>false</ScaleCrop>
  <Company>Lancaster University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Clarkson, Sonya</dc:creator>
  <dc:description/>
  <cp:lastModifiedBy>Schröter-Weiß, Nadine</cp:lastModifiedBy>
  <cp:revision>17</cp:revision>
  <dcterms:created xsi:type="dcterms:W3CDTF">2024-03-22T15:52:00Z</dcterms:created>
  <dcterms:modified xsi:type="dcterms:W3CDTF">2025-12-04T13:58:00Z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0x010100A596A0A267F898468073E6F40723BD9E</vt:lpwstr>
  </property>
  <property fmtid="{D5CDD505-2E9C-101B-9397-08002B2CF9AE}" pid="3" name="Created">
    <vt:filetime>2020-05-27T00:00:00Z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2021-02-25T00:00:00Z</vt:filetime>
  </property>
</Properties>
</file>