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EB06" w14:textId="77777777" w:rsidR="0021620A" w:rsidRDefault="00BB7993" w:rsidP="00031192">
      <w:pPr>
        <w:pStyle w:val="BodyText"/>
        <w:spacing w:line="276" w:lineRule="auto"/>
        <w:ind w:left="6272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 wp14:anchorId="629312EB" wp14:editId="3F49AEB1">
            <wp:extent cx="2181877" cy="6798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77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925E9" w14:textId="77777777" w:rsidR="0021620A" w:rsidRDefault="0021620A" w:rsidP="00031192">
      <w:pPr>
        <w:pStyle w:val="BodyText"/>
        <w:spacing w:before="8" w:line="276" w:lineRule="auto"/>
        <w:rPr>
          <w:rFonts w:ascii="Times New Roman"/>
          <w:sz w:val="18"/>
        </w:rPr>
      </w:pPr>
    </w:p>
    <w:p w14:paraId="4C504897" w14:textId="77777777" w:rsidR="007D5B77" w:rsidRPr="005F25E6" w:rsidRDefault="007D5B77" w:rsidP="00031192">
      <w:pPr>
        <w:spacing w:line="276" w:lineRule="auto"/>
        <w:jc w:val="center"/>
        <w:rPr>
          <w:b/>
        </w:rPr>
      </w:pPr>
      <w:r w:rsidRPr="005F25E6">
        <w:rPr>
          <w:b/>
        </w:rPr>
        <w:t>JOB DESCRIPTION</w:t>
      </w:r>
    </w:p>
    <w:p w14:paraId="3EFDA6BE" w14:textId="3B02657C" w:rsidR="007D5B77" w:rsidRPr="005F25E6" w:rsidRDefault="003F3ECA" w:rsidP="00031192">
      <w:pPr>
        <w:spacing w:line="276" w:lineRule="auto"/>
        <w:jc w:val="center"/>
        <w:rPr>
          <w:b/>
        </w:rPr>
      </w:pPr>
      <w:r>
        <w:rPr>
          <w:b/>
        </w:rPr>
        <w:t xml:space="preserve">Faculty </w:t>
      </w:r>
      <w:r w:rsidR="007D5B77" w:rsidRPr="005F25E6">
        <w:rPr>
          <w:b/>
        </w:rPr>
        <w:t>Placements Officer</w:t>
      </w:r>
    </w:p>
    <w:p w14:paraId="23F2915B" w14:textId="77777777" w:rsidR="007D5B77" w:rsidRPr="005F25E6" w:rsidRDefault="008F57B6" w:rsidP="00031192">
      <w:pPr>
        <w:spacing w:line="276" w:lineRule="auto"/>
        <w:jc w:val="center"/>
        <w:rPr>
          <w:b/>
        </w:rPr>
      </w:pPr>
      <w:r>
        <w:rPr>
          <w:b/>
        </w:rPr>
        <w:t xml:space="preserve">Vacancy Ref: </w:t>
      </w:r>
    </w:p>
    <w:p w14:paraId="2BBF0ABB" w14:textId="77777777" w:rsidR="007D5B77" w:rsidRDefault="007D5B77" w:rsidP="00031192">
      <w:pPr>
        <w:spacing w:line="276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88"/>
      </w:tblGrid>
      <w:tr w:rsidR="007D5B77" w14:paraId="7E3468BD" w14:textId="77777777" w:rsidTr="301666B9">
        <w:tc>
          <w:tcPr>
            <w:tcW w:w="7054" w:type="dxa"/>
          </w:tcPr>
          <w:p w14:paraId="5B0B6406" w14:textId="77777777" w:rsidR="007D5B77" w:rsidRDefault="007D5B77" w:rsidP="00F62A5D">
            <w:pPr>
              <w:spacing w:line="276" w:lineRule="auto"/>
            </w:pPr>
            <w:r w:rsidRPr="00DA5DF9">
              <w:rPr>
                <w:b/>
              </w:rPr>
              <w:t>Job Title</w:t>
            </w:r>
            <w:r>
              <w:t xml:space="preserve">: </w:t>
            </w:r>
            <w:r w:rsidR="00F62A5D">
              <w:t xml:space="preserve">Faculty </w:t>
            </w:r>
            <w:r>
              <w:t xml:space="preserve">Placements Officer  </w:t>
            </w:r>
            <w:bookmarkStart w:id="0" w:name="_GoBack"/>
            <w:bookmarkEnd w:id="0"/>
          </w:p>
        </w:tc>
        <w:tc>
          <w:tcPr>
            <w:tcW w:w="2188" w:type="dxa"/>
          </w:tcPr>
          <w:p w14:paraId="5F092DF1" w14:textId="77777777" w:rsidR="007D5B77" w:rsidRDefault="007D5B77" w:rsidP="00031192">
            <w:pPr>
              <w:spacing w:line="276" w:lineRule="auto"/>
            </w:pPr>
            <w:r w:rsidRPr="00DA5DF9">
              <w:rPr>
                <w:b/>
              </w:rPr>
              <w:t>Present Grade</w:t>
            </w:r>
            <w:r>
              <w:t>: 6S</w:t>
            </w:r>
          </w:p>
        </w:tc>
      </w:tr>
      <w:tr w:rsidR="007D5B77" w14:paraId="7A41EDED" w14:textId="77777777" w:rsidTr="301666B9">
        <w:tc>
          <w:tcPr>
            <w:tcW w:w="9242" w:type="dxa"/>
            <w:gridSpan w:val="2"/>
          </w:tcPr>
          <w:p w14:paraId="3BA313F8" w14:textId="77777777" w:rsidR="007D5B77" w:rsidRDefault="007D5B77" w:rsidP="00031192">
            <w:pPr>
              <w:spacing w:line="276" w:lineRule="auto"/>
            </w:pPr>
            <w:r w:rsidRPr="005F25E6">
              <w:rPr>
                <w:b/>
              </w:rPr>
              <w:t>Department/College</w:t>
            </w:r>
            <w:r>
              <w:t>: Faculty Office, Faculty of Arts and Social Sciences (FASS)</w:t>
            </w:r>
          </w:p>
        </w:tc>
      </w:tr>
      <w:tr w:rsidR="007D5B77" w14:paraId="2C5A014E" w14:textId="77777777" w:rsidTr="301666B9">
        <w:tc>
          <w:tcPr>
            <w:tcW w:w="9242" w:type="dxa"/>
            <w:gridSpan w:val="2"/>
          </w:tcPr>
          <w:p w14:paraId="4E519F53" w14:textId="77777777" w:rsidR="007D5B77" w:rsidRDefault="007D5B77" w:rsidP="00031192">
            <w:pPr>
              <w:spacing w:line="276" w:lineRule="auto"/>
            </w:pPr>
            <w:r w:rsidRPr="005F25E6">
              <w:rPr>
                <w:b/>
              </w:rPr>
              <w:t>Directly responsible to</w:t>
            </w:r>
            <w:r>
              <w:t xml:space="preserve">: Faculty </w:t>
            </w:r>
            <w:r w:rsidR="005F25E6">
              <w:t>Student Experience Manager</w:t>
            </w:r>
          </w:p>
        </w:tc>
      </w:tr>
      <w:tr w:rsidR="007D5B77" w14:paraId="75CFDE80" w14:textId="77777777" w:rsidTr="301666B9">
        <w:tc>
          <w:tcPr>
            <w:tcW w:w="924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05"/>
            </w:tblGrid>
            <w:tr w:rsidR="00F62A5D" w14:paraId="18B9BF5D" w14:textId="77777777">
              <w:trPr>
                <w:trHeight w:val="147"/>
              </w:trPr>
              <w:tc>
                <w:tcPr>
                  <w:tcW w:w="0" w:type="auto"/>
                </w:tcPr>
                <w:p w14:paraId="13F0D220" w14:textId="77777777" w:rsidR="00F62A5D" w:rsidRDefault="007D5B77" w:rsidP="00ED4480">
                  <w:pPr>
                    <w:pStyle w:val="Default"/>
                    <w:ind w:left="-108"/>
                    <w:rPr>
                      <w:sz w:val="22"/>
                      <w:szCs w:val="22"/>
                    </w:rPr>
                  </w:pPr>
                  <w:r w:rsidRPr="00ED4480">
                    <w:rPr>
                      <w:b/>
                      <w:sz w:val="22"/>
                    </w:rPr>
                    <w:t>Supervisory responsibility for</w:t>
                  </w:r>
                  <w:r w:rsidRPr="00ED4480">
                    <w:rPr>
                      <w:sz w:val="22"/>
                    </w:rPr>
                    <w:t xml:space="preserve">: </w:t>
                  </w:r>
                  <w:r w:rsidR="00F62A5D">
                    <w:rPr>
                      <w:sz w:val="22"/>
                      <w:szCs w:val="22"/>
                    </w:rPr>
                    <w:t xml:space="preserve">Faculty Placements &amp; Internships Co-ordinators </w:t>
                  </w:r>
                </w:p>
              </w:tc>
            </w:tr>
          </w:tbl>
          <w:p w14:paraId="28EF0CEE" w14:textId="77777777" w:rsidR="007D5B77" w:rsidRDefault="007D5B77" w:rsidP="00031192">
            <w:pPr>
              <w:spacing w:line="276" w:lineRule="auto"/>
            </w:pPr>
          </w:p>
        </w:tc>
      </w:tr>
      <w:tr w:rsidR="007D5B77" w14:paraId="7AAF2ACB" w14:textId="77777777" w:rsidTr="301666B9">
        <w:tc>
          <w:tcPr>
            <w:tcW w:w="9242" w:type="dxa"/>
            <w:gridSpan w:val="2"/>
          </w:tcPr>
          <w:p w14:paraId="4297BEC0" w14:textId="77777777" w:rsidR="007D5B77" w:rsidRPr="005F25E6" w:rsidRDefault="007D5B77" w:rsidP="00031192">
            <w:pPr>
              <w:spacing w:line="276" w:lineRule="auto"/>
              <w:rPr>
                <w:b/>
              </w:rPr>
            </w:pPr>
            <w:r w:rsidRPr="005F25E6">
              <w:rPr>
                <w:b/>
              </w:rPr>
              <w:t>Other contacts</w:t>
            </w:r>
          </w:p>
          <w:p w14:paraId="527D951B" w14:textId="77777777" w:rsidR="007D5B77" w:rsidRDefault="007D5B77" w:rsidP="00031192">
            <w:pPr>
              <w:spacing w:line="276" w:lineRule="auto"/>
            </w:pPr>
            <w:r w:rsidRPr="005F25E6">
              <w:rPr>
                <w:b/>
              </w:rPr>
              <w:t>Internal</w:t>
            </w:r>
            <w:r>
              <w:t xml:space="preserve">: Faculty staff engaged in employability and placement activity, departmental academic and administrative staff, Careers and </w:t>
            </w:r>
            <w:r w:rsidR="00130AF0">
              <w:t>Employability</w:t>
            </w:r>
            <w:r>
              <w:t xml:space="preserve"> Consultant, Careers, </w:t>
            </w:r>
            <w:r w:rsidR="00130AF0">
              <w:t>colleagues</w:t>
            </w:r>
            <w:r>
              <w:t xml:space="preserve"> in Research and Enterprise Services and Central Services, and undergraduate students.</w:t>
            </w:r>
          </w:p>
          <w:p w14:paraId="36CDFFFB" w14:textId="77777777" w:rsidR="007D5B77" w:rsidRDefault="007D5B77" w:rsidP="00031192">
            <w:pPr>
              <w:spacing w:line="276" w:lineRule="auto"/>
            </w:pPr>
            <w:r w:rsidRPr="301666B9">
              <w:rPr>
                <w:b/>
                <w:bCs/>
              </w:rPr>
              <w:t>External</w:t>
            </w:r>
            <w:r>
              <w:t xml:space="preserve">: Prospective and existing placement </w:t>
            </w:r>
            <w:r w:rsidR="390B120D">
              <w:t xml:space="preserve">year </w:t>
            </w:r>
            <w:r>
              <w:t>hosts for students, organisations (including</w:t>
            </w:r>
          </w:p>
          <w:p w14:paraId="17E20B7D" w14:textId="77777777" w:rsidR="007D5B77" w:rsidRDefault="007D5B77" w:rsidP="00031192">
            <w:pPr>
              <w:spacing w:line="276" w:lineRule="auto"/>
            </w:pPr>
            <w:r>
              <w:t>businesses) providing placement opportunities and partner orga</w:t>
            </w:r>
            <w:r w:rsidR="005F25E6">
              <w:t>nisations mediating placements.</w:t>
            </w:r>
          </w:p>
          <w:p w14:paraId="55DF82F1" w14:textId="77777777" w:rsidR="007D5B77" w:rsidRPr="005246B9" w:rsidRDefault="007D5B77" w:rsidP="00031192">
            <w:pPr>
              <w:spacing w:line="276" w:lineRule="auto"/>
              <w:rPr>
                <w:sz w:val="2"/>
              </w:rPr>
            </w:pPr>
          </w:p>
        </w:tc>
      </w:tr>
      <w:tr w:rsidR="00031192" w14:paraId="6B880B21" w14:textId="77777777" w:rsidTr="301666B9">
        <w:tc>
          <w:tcPr>
            <w:tcW w:w="9242" w:type="dxa"/>
            <w:gridSpan w:val="2"/>
          </w:tcPr>
          <w:p w14:paraId="2D09A662" w14:textId="77777777" w:rsidR="00031192" w:rsidRPr="0093424C" w:rsidRDefault="00031192" w:rsidP="00031192">
            <w:pPr>
              <w:spacing w:before="240" w:line="276" w:lineRule="auto"/>
              <w:rPr>
                <w:b/>
              </w:rPr>
            </w:pPr>
            <w:r w:rsidRPr="0093424C">
              <w:rPr>
                <w:b/>
                <w:bCs/>
              </w:rPr>
              <w:t xml:space="preserve">The Role: </w:t>
            </w:r>
          </w:p>
          <w:p w14:paraId="6640C229" w14:textId="77777777" w:rsidR="00031192" w:rsidRDefault="00031192" w:rsidP="00031192">
            <w:pPr>
              <w:pStyle w:val="ListParagraph"/>
              <w:spacing w:before="240" w:after="200" w:line="276" w:lineRule="auto"/>
              <w:ind w:left="0" w:firstLine="0"/>
            </w:pPr>
            <w:r w:rsidRPr="0093424C">
              <w:t xml:space="preserve">The post holder will support undergraduate placement year activity within </w:t>
            </w:r>
            <w:r>
              <w:t>FASS</w:t>
            </w:r>
            <w:r w:rsidRPr="0093424C">
              <w:t xml:space="preserve"> in line with the </w:t>
            </w:r>
            <w:r>
              <w:t>Faculty</w:t>
            </w:r>
            <w:r w:rsidRPr="0093424C">
              <w:t xml:space="preserve">’s strategic objectives. </w:t>
            </w:r>
          </w:p>
          <w:p w14:paraId="5D658073" w14:textId="77777777" w:rsidR="00031192" w:rsidRPr="007D5B77" w:rsidRDefault="00031192" w:rsidP="00031192">
            <w:pPr>
              <w:pStyle w:val="ListParagraph"/>
              <w:spacing w:before="240" w:after="200" w:line="276" w:lineRule="auto"/>
              <w:ind w:left="0" w:firstLine="0"/>
              <w:rPr>
                <w:b/>
              </w:rPr>
            </w:pPr>
            <w:r w:rsidRPr="00950C0F">
              <w:rPr>
                <w:b/>
              </w:rPr>
              <w:t>Major Duties:</w:t>
            </w:r>
          </w:p>
          <w:p w14:paraId="19FDA8A7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To work with departments within FASS to design and develop embedded placement and project opportunities within the curriculum, including the FASS Placement Year and individual modules;</w:t>
            </w:r>
          </w:p>
          <w:p w14:paraId="333BBF39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Organisation (and delivery where appropriate) of Work Based Learning sessions as part of the FASS Placement Year;</w:t>
            </w:r>
          </w:p>
          <w:p w14:paraId="1623BC29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Working with partners (established and prospective) to develop a range of paid placement opportunities with external organisations (private, public and grant maintained) as part of the FASS Placement Scheme;</w:t>
            </w:r>
          </w:p>
          <w:p w14:paraId="73F62B30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Promoting the Faculty’s placement/project offering at recruitment events e.g. Open Days, Visit Days;</w:t>
            </w:r>
          </w:p>
          <w:p w14:paraId="45E3B66A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Application, and sharing good practice, of Health &amp; Safety and risk assessment procedures relating to placements and their effective monitoring and review (complementing those established by the University Safety Office);</w:t>
            </w:r>
          </w:p>
          <w:p w14:paraId="4BD9E297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Maintaining and expanding the quality assurance aspects of placement management to underpin and enhance the relationship(s) with host organisations;</w:t>
            </w:r>
          </w:p>
          <w:p w14:paraId="00D68BC8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To offer placement development advice and support to staff and students;</w:t>
            </w:r>
          </w:p>
          <w:p w14:paraId="41BD31BA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lastRenderedPageBreak/>
              <w:t>Developing resources for departments to help reduce barriers to the development of placement components to UG and PG courses;</w:t>
            </w:r>
          </w:p>
          <w:p w14:paraId="12297DA6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Coordinating faculty based placement activity with other Careers facilitated activity;</w:t>
            </w:r>
          </w:p>
          <w:p w14:paraId="5CC5F669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Supporting departments to (further) develop practices and structures to allocate and manage student placements;</w:t>
            </w:r>
          </w:p>
          <w:p w14:paraId="318B0152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Encouraging and facilitating self-reflection by students regarding their placement (both before and after the period spent with the host organisation);</w:t>
            </w:r>
          </w:p>
          <w:p w14:paraId="3CBE8533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Organisation (and delivery when appropriate) of induction training sessions prior to placement;</w:t>
            </w:r>
          </w:p>
          <w:p w14:paraId="7408CA45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Gathering of post-placement evaluation data from hosts and students;</w:t>
            </w:r>
          </w:p>
          <w:p w14:paraId="1044A39E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Ongoing monitoring of, and compilation of reports on, extent of placement activity;</w:t>
            </w:r>
          </w:p>
          <w:p w14:paraId="3445A344" w14:textId="77777777" w:rsidR="00DF6894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after="240" w:line="276" w:lineRule="auto"/>
              <w:ind w:left="284" w:hanging="284"/>
            </w:pPr>
            <w:r>
              <w:t>To conduct annual progress reviews of placement development for consideration by relevant committees e.g. PRC;</w:t>
            </w:r>
          </w:p>
          <w:p w14:paraId="6E952A63" w14:textId="77777777" w:rsidR="00031192" w:rsidRPr="00031192" w:rsidRDefault="00DF6894" w:rsidP="00DF6894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284" w:hanging="284"/>
            </w:pPr>
            <w:r>
              <w:t>Any other duties consistent with the nature and grading of the role as agreed by the Faculty Student Experience Manager.</w:t>
            </w:r>
          </w:p>
        </w:tc>
      </w:tr>
    </w:tbl>
    <w:p w14:paraId="5D1FD1DE" w14:textId="77777777" w:rsidR="007D5B77" w:rsidRDefault="007D5B77" w:rsidP="00031192">
      <w:pPr>
        <w:spacing w:line="276" w:lineRule="auto"/>
        <w:ind w:left="426"/>
      </w:pPr>
    </w:p>
    <w:p w14:paraId="28C32C9C" w14:textId="77777777" w:rsidR="0021620A" w:rsidRDefault="0021620A" w:rsidP="00031192">
      <w:pPr>
        <w:pStyle w:val="Heading1"/>
        <w:spacing w:before="57" w:line="276" w:lineRule="auto"/>
      </w:pPr>
    </w:p>
    <w:sectPr w:rsidR="0021620A" w:rsidSect="00031192">
      <w:type w:val="continuous"/>
      <w:pgSz w:w="11910" w:h="16840"/>
      <w:pgMar w:top="1300" w:right="900" w:bottom="113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AD9"/>
    <w:multiLevelType w:val="hybridMultilevel"/>
    <w:tmpl w:val="6B0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3112"/>
    <w:multiLevelType w:val="hybridMultilevel"/>
    <w:tmpl w:val="63645CE8"/>
    <w:lvl w:ilvl="0" w:tplc="B846E6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264D976">
      <w:numFmt w:val="bullet"/>
      <w:lvlText w:val="•"/>
      <w:lvlJc w:val="left"/>
      <w:pPr>
        <w:ind w:left="1754" w:hanging="360"/>
      </w:pPr>
      <w:rPr>
        <w:rFonts w:hint="default"/>
        <w:lang w:val="en-GB" w:eastAsia="en-GB" w:bidi="en-GB"/>
      </w:rPr>
    </w:lvl>
    <w:lvl w:ilvl="2" w:tplc="1B527D9C">
      <w:numFmt w:val="bullet"/>
      <w:lvlText w:val="•"/>
      <w:lvlJc w:val="left"/>
      <w:pPr>
        <w:ind w:left="2669" w:hanging="360"/>
      </w:pPr>
      <w:rPr>
        <w:rFonts w:hint="default"/>
        <w:lang w:val="en-GB" w:eastAsia="en-GB" w:bidi="en-GB"/>
      </w:rPr>
    </w:lvl>
    <w:lvl w:ilvl="3" w:tplc="5114BBD2">
      <w:numFmt w:val="bullet"/>
      <w:lvlText w:val="•"/>
      <w:lvlJc w:val="left"/>
      <w:pPr>
        <w:ind w:left="3583" w:hanging="360"/>
      </w:pPr>
      <w:rPr>
        <w:rFonts w:hint="default"/>
        <w:lang w:val="en-GB" w:eastAsia="en-GB" w:bidi="en-GB"/>
      </w:rPr>
    </w:lvl>
    <w:lvl w:ilvl="4" w:tplc="FBE42514">
      <w:numFmt w:val="bullet"/>
      <w:lvlText w:val="•"/>
      <w:lvlJc w:val="left"/>
      <w:pPr>
        <w:ind w:left="4498" w:hanging="360"/>
      </w:pPr>
      <w:rPr>
        <w:rFonts w:hint="default"/>
        <w:lang w:val="en-GB" w:eastAsia="en-GB" w:bidi="en-GB"/>
      </w:rPr>
    </w:lvl>
    <w:lvl w:ilvl="5" w:tplc="F290218A">
      <w:numFmt w:val="bullet"/>
      <w:lvlText w:val="•"/>
      <w:lvlJc w:val="left"/>
      <w:pPr>
        <w:ind w:left="5413" w:hanging="360"/>
      </w:pPr>
      <w:rPr>
        <w:rFonts w:hint="default"/>
        <w:lang w:val="en-GB" w:eastAsia="en-GB" w:bidi="en-GB"/>
      </w:rPr>
    </w:lvl>
    <w:lvl w:ilvl="6" w:tplc="09903FA4">
      <w:numFmt w:val="bullet"/>
      <w:lvlText w:val="•"/>
      <w:lvlJc w:val="left"/>
      <w:pPr>
        <w:ind w:left="6327" w:hanging="360"/>
      </w:pPr>
      <w:rPr>
        <w:rFonts w:hint="default"/>
        <w:lang w:val="en-GB" w:eastAsia="en-GB" w:bidi="en-GB"/>
      </w:rPr>
    </w:lvl>
    <w:lvl w:ilvl="7" w:tplc="CE7040E8">
      <w:numFmt w:val="bullet"/>
      <w:lvlText w:val="•"/>
      <w:lvlJc w:val="left"/>
      <w:pPr>
        <w:ind w:left="7242" w:hanging="360"/>
      </w:pPr>
      <w:rPr>
        <w:rFonts w:hint="default"/>
        <w:lang w:val="en-GB" w:eastAsia="en-GB" w:bidi="en-GB"/>
      </w:rPr>
    </w:lvl>
    <w:lvl w:ilvl="8" w:tplc="5972D944">
      <w:numFmt w:val="bullet"/>
      <w:lvlText w:val="•"/>
      <w:lvlJc w:val="left"/>
      <w:pPr>
        <w:ind w:left="8157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7B7628DC"/>
    <w:multiLevelType w:val="hybridMultilevel"/>
    <w:tmpl w:val="9348BD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A"/>
    <w:rsid w:val="00031192"/>
    <w:rsid w:val="00130AF0"/>
    <w:rsid w:val="0021620A"/>
    <w:rsid w:val="00307742"/>
    <w:rsid w:val="00327910"/>
    <w:rsid w:val="003D7A29"/>
    <w:rsid w:val="003F3ECA"/>
    <w:rsid w:val="004F3347"/>
    <w:rsid w:val="005D764D"/>
    <w:rsid w:val="005F25E6"/>
    <w:rsid w:val="006B1DD9"/>
    <w:rsid w:val="006B4E6B"/>
    <w:rsid w:val="00754148"/>
    <w:rsid w:val="007548F0"/>
    <w:rsid w:val="0079724B"/>
    <w:rsid w:val="007D5B77"/>
    <w:rsid w:val="00884F2E"/>
    <w:rsid w:val="008D38D3"/>
    <w:rsid w:val="008F57B6"/>
    <w:rsid w:val="0093424C"/>
    <w:rsid w:val="009361FF"/>
    <w:rsid w:val="009B1652"/>
    <w:rsid w:val="00A3483E"/>
    <w:rsid w:val="00A7039C"/>
    <w:rsid w:val="00AC059F"/>
    <w:rsid w:val="00BB7993"/>
    <w:rsid w:val="00C64F1D"/>
    <w:rsid w:val="00C74E32"/>
    <w:rsid w:val="00DA1DB2"/>
    <w:rsid w:val="00DF6894"/>
    <w:rsid w:val="00E860C9"/>
    <w:rsid w:val="00ED4480"/>
    <w:rsid w:val="00F0335A"/>
    <w:rsid w:val="00F62A5D"/>
    <w:rsid w:val="00FC227C"/>
    <w:rsid w:val="00FE3972"/>
    <w:rsid w:val="01325CB1"/>
    <w:rsid w:val="0373E271"/>
    <w:rsid w:val="06AF2782"/>
    <w:rsid w:val="08559399"/>
    <w:rsid w:val="0962E475"/>
    <w:rsid w:val="0B4F24DF"/>
    <w:rsid w:val="0B60314E"/>
    <w:rsid w:val="0C01557A"/>
    <w:rsid w:val="0C96F0CE"/>
    <w:rsid w:val="0D68D24B"/>
    <w:rsid w:val="11B88E98"/>
    <w:rsid w:val="12DF0CB0"/>
    <w:rsid w:val="14A4D5F6"/>
    <w:rsid w:val="16D4A5AB"/>
    <w:rsid w:val="18268F42"/>
    <w:rsid w:val="1B4FE692"/>
    <w:rsid w:val="1C466F04"/>
    <w:rsid w:val="1FCB2FE2"/>
    <w:rsid w:val="201B0222"/>
    <w:rsid w:val="2031A127"/>
    <w:rsid w:val="222DC1F2"/>
    <w:rsid w:val="225B2051"/>
    <w:rsid w:val="25017BDD"/>
    <w:rsid w:val="275CB4E9"/>
    <w:rsid w:val="29B43CBF"/>
    <w:rsid w:val="2A060631"/>
    <w:rsid w:val="2BB70C99"/>
    <w:rsid w:val="2BE80EA7"/>
    <w:rsid w:val="2D1D888F"/>
    <w:rsid w:val="2F39ED5A"/>
    <w:rsid w:val="2F9FB783"/>
    <w:rsid w:val="2FCFAA5D"/>
    <w:rsid w:val="3005D65B"/>
    <w:rsid w:val="301666B9"/>
    <w:rsid w:val="316B7ABE"/>
    <w:rsid w:val="32D8BF1E"/>
    <w:rsid w:val="355A34D4"/>
    <w:rsid w:val="35894272"/>
    <w:rsid w:val="37520EC0"/>
    <w:rsid w:val="37854F7F"/>
    <w:rsid w:val="378C6A0D"/>
    <w:rsid w:val="37DABC42"/>
    <w:rsid w:val="390B120D"/>
    <w:rsid w:val="3929DAFF"/>
    <w:rsid w:val="3953FE29"/>
    <w:rsid w:val="3AC5AB60"/>
    <w:rsid w:val="3FBDC8D3"/>
    <w:rsid w:val="3FD594BD"/>
    <w:rsid w:val="40DA5CAD"/>
    <w:rsid w:val="41294FCE"/>
    <w:rsid w:val="430FFC7C"/>
    <w:rsid w:val="444BDD65"/>
    <w:rsid w:val="472FAA41"/>
    <w:rsid w:val="47AFB25B"/>
    <w:rsid w:val="4BD8AF33"/>
    <w:rsid w:val="4C752EF0"/>
    <w:rsid w:val="4E096ACC"/>
    <w:rsid w:val="4F2193C9"/>
    <w:rsid w:val="4F4ABE08"/>
    <w:rsid w:val="514EA816"/>
    <w:rsid w:val="522DF28D"/>
    <w:rsid w:val="577F6B9B"/>
    <w:rsid w:val="59D780BC"/>
    <w:rsid w:val="5DE5771E"/>
    <w:rsid w:val="5E8FAA25"/>
    <w:rsid w:val="609D392E"/>
    <w:rsid w:val="60EDBA37"/>
    <w:rsid w:val="62475301"/>
    <w:rsid w:val="62CCCEB5"/>
    <w:rsid w:val="657EF3C3"/>
    <w:rsid w:val="6B9C2105"/>
    <w:rsid w:val="6D866F3B"/>
    <w:rsid w:val="70498BD6"/>
    <w:rsid w:val="7217EC17"/>
    <w:rsid w:val="72317F48"/>
    <w:rsid w:val="72656451"/>
    <w:rsid w:val="72D753DC"/>
    <w:rsid w:val="74E3EEA4"/>
    <w:rsid w:val="7855694E"/>
    <w:rsid w:val="791E8C9F"/>
    <w:rsid w:val="7ACA1927"/>
    <w:rsid w:val="7BB59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E85F"/>
  <w15:docId w15:val="{9DB80924-39AC-43CA-A55B-F871A0C9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B4E6B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rsid w:val="006B4E6B"/>
    <w:pPr>
      <w:ind w:left="2719" w:right="283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4E6B"/>
  </w:style>
  <w:style w:type="paragraph" w:styleId="ListParagraph">
    <w:name w:val="List Paragraph"/>
    <w:basedOn w:val="Normal"/>
    <w:uiPriority w:val="34"/>
    <w:qFormat/>
    <w:rsid w:val="006B4E6B"/>
    <w:pPr>
      <w:ind w:left="833" w:right="228" w:hanging="360"/>
    </w:pPr>
  </w:style>
  <w:style w:type="paragraph" w:customStyle="1" w:styleId="TableParagraph">
    <w:name w:val="Table Paragraph"/>
    <w:basedOn w:val="Normal"/>
    <w:uiPriority w:val="1"/>
    <w:qFormat/>
    <w:rsid w:val="006B4E6B"/>
    <w:pPr>
      <w:spacing w:line="268" w:lineRule="exact"/>
      <w:ind w:left="110"/>
    </w:pPr>
  </w:style>
  <w:style w:type="character" w:customStyle="1" w:styleId="normaltextrun">
    <w:name w:val="normaltextrun"/>
    <w:basedOn w:val="DefaultParagraphFont"/>
    <w:rsid w:val="003D7A29"/>
  </w:style>
  <w:style w:type="paragraph" w:styleId="BalloonText">
    <w:name w:val="Balloon Text"/>
    <w:basedOn w:val="Normal"/>
    <w:link w:val="BalloonTextChar"/>
    <w:uiPriority w:val="99"/>
    <w:semiHidden/>
    <w:unhideWhenUsed/>
    <w:rsid w:val="00DA1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B2"/>
    <w:rPr>
      <w:rFonts w:ascii="Tahoma" w:eastAsia="Calibri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7D5B7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F1D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D08EAF6CD747AE18F062D238E9CD" ma:contentTypeVersion="14" ma:contentTypeDescription="Create a new document." ma:contentTypeScope="" ma:versionID="0cc2a645079fd393f5ff04fef05202ff">
  <xsd:schema xmlns:xsd="http://www.w3.org/2001/XMLSchema" xmlns:xs="http://www.w3.org/2001/XMLSchema" xmlns:p="http://schemas.microsoft.com/office/2006/metadata/properties" xmlns:ns3="bd43519d-ead2-4ba1-ba32-c0379276acbd" xmlns:ns4="134246ac-c077-4814-adad-0c52def46e24" targetNamespace="http://schemas.microsoft.com/office/2006/metadata/properties" ma:root="true" ma:fieldsID="d6f32ee247a1c26b471f23c79914aca8" ns3:_="" ns4:_="">
    <xsd:import namespace="bd43519d-ead2-4ba1-ba32-c0379276acbd"/>
    <xsd:import namespace="134246ac-c077-4814-adad-0c52def46e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519d-ead2-4ba1-ba32-c03792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246ac-c077-4814-adad-0c52def46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F15B40-F5FF-4234-903E-8D7CB94F52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24330-3353-4B6D-8CCC-F4F16AF5F664}">
  <ds:schemaRefs>
    <ds:schemaRef ds:uri="bd43519d-ead2-4ba1-ba32-c0379276ac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4246ac-c077-4814-adad-0c52def46e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4342D8-1A82-4EA7-A590-A7FA14A9C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519d-ead2-4ba1-ba32-c0379276acbd"/>
    <ds:schemaRef ds:uri="134246ac-c077-4814-adad-0c52def46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McDowell</dc:creator>
  <cp:lastModifiedBy>Henderson, Jemma</cp:lastModifiedBy>
  <cp:revision>3</cp:revision>
  <dcterms:created xsi:type="dcterms:W3CDTF">2022-11-02T11:10:00Z</dcterms:created>
  <dcterms:modified xsi:type="dcterms:W3CDTF">2022-11-02T11:10:00Z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  <property fmtid="{D5CDD505-2E9C-101B-9397-08002B2CF9AE}" pid="5" name="ContentTypeId">
    <vt:lpwstr>0x0101000C76D08EAF6CD747AE18F062D238E9CD</vt:lpwstr>
  </property>
</Properties>
</file>