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8D" w:rsidRDefault="00E33F9A">
      <w:pPr>
        <w:pStyle w:val="BodyText"/>
        <w:ind w:left="432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28002" cy="696277"/>
            <wp:effectExtent l="0" t="0" r="0" b="0"/>
            <wp:docPr id="1" name="image1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002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28D" w:rsidRDefault="00E0228D">
      <w:pPr>
        <w:pStyle w:val="BodyText"/>
        <w:ind w:left="0"/>
        <w:jc w:val="left"/>
        <w:rPr>
          <w:rFonts w:ascii="Times New Roman"/>
          <w:sz w:val="20"/>
        </w:rPr>
      </w:pPr>
    </w:p>
    <w:p w:rsidR="00E0228D" w:rsidRDefault="00E0228D">
      <w:pPr>
        <w:pStyle w:val="BodyText"/>
        <w:spacing w:before="9"/>
        <w:ind w:left="0"/>
        <w:jc w:val="left"/>
        <w:rPr>
          <w:rFonts w:ascii="Times New Roman"/>
          <w:sz w:val="28"/>
        </w:rPr>
      </w:pPr>
    </w:p>
    <w:p w:rsidR="00E0228D" w:rsidRPr="00CC010B" w:rsidRDefault="00E33F9A" w:rsidP="00CC010B">
      <w:pPr>
        <w:spacing w:before="56"/>
        <w:ind w:left="4641" w:right="4521"/>
        <w:jc w:val="center"/>
        <w:rPr>
          <w:b/>
        </w:rPr>
      </w:pPr>
      <w:r w:rsidRPr="00CC010B">
        <w:rPr>
          <w:b/>
        </w:rPr>
        <w:t>JOB</w:t>
      </w:r>
      <w:r w:rsidRPr="00CC010B">
        <w:rPr>
          <w:b/>
          <w:spacing w:val="-3"/>
        </w:rPr>
        <w:t xml:space="preserve"> </w:t>
      </w:r>
      <w:r w:rsidRPr="00CC010B">
        <w:rPr>
          <w:b/>
          <w:spacing w:val="-2"/>
        </w:rPr>
        <w:t>DESCRIPTION</w:t>
      </w:r>
    </w:p>
    <w:p w:rsidR="00CC010B" w:rsidRPr="00CC010B" w:rsidRDefault="00CC010B" w:rsidP="00CC010B">
      <w:pPr>
        <w:jc w:val="center"/>
        <w:rPr>
          <w:b/>
        </w:rPr>
      </w:pPr>
      <w:r w:rsidRPr="00CC010B">
        <w:rPr>
          <w:rFonts w:asciiTheme="minorHAnsi" w:hAnsiTheme="minorHAnsi" w:cstheme="minorBidi"/>
          <w:b/>
        </w:rPr>
        <w:t>Finance and Operations Manager (Maternity cover)</w:t>
      </w:r>
    </w:p>
    <w:p w:rsidR="00CC010B" w:rsidRPr="00CC010B" w:rsidRDefault="00E33F9A" w:rsidP="00CC010B">
      <w:pPr>
        <w:jc w:val="center"/>
        <w:rPr>
          <w:rFonts w:asciiTheme="minorHAnsi" w:hAnsiTheme="minorHAnsi" w:cstheme="minorHAnsi"/>
          <w:b/>
        </w:rPr>
      </w:pPr>
      <w:r w:rsidRPr="00CC010B">
        <w:rPr>
          <w:b/>
        </w:rPr>
        <w:t xml:space="preserve">(New </w:t>
      </w:r>
      <w:r w:rsidR="0058264F" w:rsidRPr="00CC010B">
        <w:rPr>
          <w:b/>
        </w:rPr>
        <w:t>Phytologist</w:t>
      </w:r>
      <w:r w:rsidRPr="00CC010B">
        <w:rPr>
          <w:b/>
        </w:rPr>
        <w:t>) Ref: N1848</w:t>
      </w:r>
    </w:p>
    <w:p w:rsidR="00CC010B" w:rsidRDefault="00CC010B" w:rsidP="00CC010B">
      <w:pPr>
        <w:rPr>
          <w:rFonts w:asciiTheme="minorHAnsi" w:hAnsiTheme="minorHAnsi" w:cstheme="minorHAnsi"/>
        </w:rPr>
      </w:pPr>
      <w:bookmarkStart w:id="0" w:name="_GoBack"/>
      <w:bookmarkEnd w:id="0"/>
    </w:p>
    <w:p w:rsidR="00CC010B" w:rsidRPr="00E96D4C" w:rsidRDefault="00CC010B" w:rsidP="00CC010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3240"/>
      </w:tblGrid>
      <w:tr w:rsidR="00CC010B" w:rsidRPr="00E96D4C" w:rsidTr="0041511B">
        <w:tc>
          <w:tcPr>
            <w:tcW w:w="7308" w:type="dxa"/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Bidi"/>
              </w:rPr>
            </w:pPr>
            <w:r w:rsidRPr="011419A4">
              <w:rPr>
                <w:rFonts w:asciiTheme="minorHAnsi" w:hAnsiTheme="minorHAnsi" w:cstheme="minorBidi"/>
                <w:b/>
                <w:bCs/>
              </w:rPr>
              <w:t>Job Title:</w:t>
            </w:r>
            <w:r>
              <w:tab/>
            </w:r>
            <w:r w:rsidRPr="011419A4">
              <w:rPr>
                <w:rFonts w:asciiTheme="minorHAnsi" w:hAnsiTheme="minorHAnsi" w:cstheme="minorBidi"/>
              </w:rPr>
              <w:t>Finance and Operations Manager (Maternity cover)</w:t>
            </w:r>
          </w:p>
        </w:tc>
        <w:tc>
          <w:tcPr>
            <w:tcW w:w="3240" w:type="dxa"/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Bidi"/>
              </w:rPr>
            </w:pPr>
            <w:r w:rsidRPr="011419A4">
              <w:rPr>
                <w:rFonts w:asciiTheme="minorHAnsi" w:hAnsiTheme="minorHAnsi" w:cstheme="minorBidi"/>
                <w:b/>
                <w:bCs/>
              </w:rPr>
              <w:t>Present Grade:</w:t>
            </w:r>
            <w:r w:rsidRPr="011419A4">
              <w:rPr>
                <w:rFonts w:asciiTheme="minorHAnsi" w:hAnsiTheme="minorHAnsi" w:cstheme="minorBidi"/>
              </w:rPr>
              <w:t xml:space="preserve"> 7 </w:t>
            </w:r>
          </w:p>
        </w:tc>
      </w:tr>
      <w:tr w:rsidR="00CC010B" w:rsidRPr="00E96D4C" w:rsidTr="0041511B">
        <w:trPr>
          <w:trHeight w:val="467"/>
        </w:trPr>
        <w:tc>
          <w:tcPr>
            <w:tcW w:w="10548" w:type="dxa"/>
            <w:gridSpan w:val="2"/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  <w:b/>
              </w:rPr>
              <w:t>Department/College:</w:t>
            </w:r>
            <w:r w:rsidRPr="00E96D4C">
              <w:rPr>
                <w:rFonts w:asciiTheme="minorHAnsi" w:hAnsiTheme="minorHAnsi" w:cstheme="minorHAnsi"/>
              </w:rPr>
              <w:tab/>
            </w:r>
            <w:r w:rsidRPr="00E96D4C">
              <w:rPr>
                <w:rFonts w:asciiTheme="minorHAnsi" w:hAnsiTheme="minorHAnsi" w:cstheme="minorHAnsi"/>
              </w:rPr>
              <w:tab/>
              <w:t>New Phytologist, Lancaster Environment Centre</w:t>
            </w:r>
          </w:p>
        </w:tc>
      </w:tr>
      <w:tr w:rsidR="00CC010B" w:rsidRPr="00E96D4C" w:rsidTr="0041511B">
        <w:tc>
          <w:tcPr>
            <w:tcW w:w="10548" w:type="dxa"/>
            <w:gridSpan w:val="2"/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  <w:b/>
              </w:rPr>
              <w:t>Directly responsible to:</w:t>
            </w:r>
            <w:r w:rsidRPr="00E96D4C">
              <w:rPr>
                <w:rFonts w:asciiTheme="minorHAnsi" w:hAnsiTheme="minorHAnsi" w:cstheme="minorHAnsi"/>
              </w:rPr>
              <w:tab/>
            </w:r>
            <w:r w:rsidRPr="00E96D4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8695598"/>
                <w:placeholder>
                  <w:docPart w:val="CA5959C00BD6494BB2A874EE39FB3F58"/>
                </w:placeholder>
              </w:sdtPr>
              <w:sdtContent>
                <w:r w:rsidRPr="00E96D4C">
                  <w:rPr>
                    <w:rFonts w:asciiTheme="minorHAnsi" w:hAnsiTheme="minorHAnsi" w:cstheme="minorHAnsi"/>
                  </w:rPr>
                  <w:t>Executive Editor, New Phytologist</w:t>
                </w:r>
                <w:r>
                  <w:rPr>
                    <w:rFonts w:asciiTheme="minorHAnsi" w:hAnsiTheme="minorHAnsi" w:cstheme="minorHAnsi"/>
                  </w:rPr>
                  <w:t xml:space="preserve"> Foundation</w:t>
                </w:r>
                <w:r w:rsidRPr="00E96D4C">
                  <w:rPr>
                    <w:rFonts w:asciiTheme="minorHAnsi" w:hAnsiTheme="minorHAnsi" w:cstheme="minorHAnsi"/>
                  </w:rPr>
                  <w:t>, Lancaster Environment Centre</w:t>
                </w:r>
              </w:sdtContent>
            </w:sdt>
          </w:p>
        </w:tc>
      </w:tr>
      <w:tr w:rsidR="00CC010B" w:rsidRPr="00E96D4C" w:rsidTr="0041511B">
        <w:tc>
          <w:tcPr>
            <w:tcW w:w="10548" w:type="dxa"/>
            <w:gridSpan w:val="2"/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  <w:b/>
              </w:rPr>
              <w:t>Supervisory responsibility for:</w:t>
            </w:r>
            <w:r w:rsidRPr="00E96D4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8695599"/>
                <w:placeholder>
                  <w:docPart w:val="4B024D4812BD4F34A724F32BF386D808"/>
                </w:placeholder>
              </w:sdtPr>
              <w:sdtContent>
                <w:r w:rsidRPr="00E96D4C">
                  <w:rPr>
                    <w:rFonts w:asciiTheme="minorHAnsi" w:hAnsiTheme="minorHAnsi" w:cstheme="minorHAnsi"/>
                  </w:rPr>
                  <w:t>N/A</w:t>
                </w:r>
              </w:sdtContent>
            </w:sdt>
          </w:p>
        </w:tc>
      </w:tr>
      <w:tr w:rsidR="00CC010B" w:rsidRPr="00E96D4C" w:rsidTr="0041511B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HAnsi"/>
                <w:b/>
              </w:rPr>
            </w:pPr>
            <w:r w:rsidRPr="00E96D4C">
              <w:rPr>
                <w:rFonts w:asciiTheme="minorHAnsi" w:hAnsiTheme="minorHAnsi" w:cstheme="minorHAnsi"/>
                <w:b/>
              </w:rPr>
              <w:t>Other contacts</w:t>
            </w: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</w:rPr>
              <w:tab/>
            </w:r>
            <w:r w:rsidRPr="00E96D4C">
              <w:rPr>
                <w:rFonts w:asciiTheme="minorHAnsi" w:hAnsiTheme="minorHAnsi" w:cstheme="minorHAnsi"/>
              </w:rPr>
              <w:tab/>
            </w:r>
          </w:p>
        </w:tc>
      </w:tr>
      <w:tr w:rsidR="00CC010B" w:rsidRPr="00E96D4C" w:rsidTr="0041511B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b/>
                <w:color w:val="000000" w:themeColor="text1"/>
              </w:rPr>
              <w:t>Internal:</w:t>
            </w: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4D2C">
              <w:rPr>
                <w:rFonts w:asciiTheme="minorHAnsi" w:hAnsiTheme="minorHAnsi" w:cstheme="minorHAnsi"/>
                <w:color w:val="000000" w:themeColor="text1"/>
              </w:rPr>
              <w:t xml:space="preserve">Central Office staff, </w:t>
            </w:r>
            <w:r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5D4D2C">
              <w:rPr>
                <w:rFonts w:asciiTheme="minorHAnsi" w:hAnsiTheme="minorHAnsi" w:cstheme="minorHAnsi"/>
                <w:color w:val="000000" w:themeColor="text1"/>
              </w:rPr>
              <w:t xml:space="preserve">aculty and </w:t>
            </w: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5D4D2C">
              <w:rPr>
                <w:rFonts w:asciiTheme="minorHAnsi" w:hAnsiTheme="minorHAnsi" w:cstheme="minorHAnsi"/>
                <w:color w:val="000000" w:themeColor="text1"/>
              </w:rPr>
              <w:t>epartmental staff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Information Systems Services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staff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, Facilities</w:t>
            </w:r>
            <w:r>
              <w:rPr>
                <w:rFonts w:asciiTheme="minorHAnsi" w:hAnsiTheme="minorHAnsi" w:cstheme="minorHAnsi"/>
                <w:color w:val="000000" w:themeColor="text1"/>
              </w:rPr>
              <w:t>, Finance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 xml:space="preserve"> and other Central University Admin services.</w:t>
            </w:r>
          </w:p>
        </w:tc>
      </w:tr>
      <w:tr w:rsidR="00CC010B" w:rsidRPr="00E96D4C" w:rsidTr="0041511B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:rsidR="00CC010B" w:rsidRPr="00E96D4C" w:rsidRDefault="00CC010B" w:rsidP="004151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b/>
                <w:color w:val="000000" w:themeColor="text1"/>
              </w:rPr>
              <w:t>External: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 xml:space="preserve">  </w:t>
            </w: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 xml:space="preserve">Editors, Advisors, Authors, Trustees, Treasurer, Wiley Publishing (Journals Publishing Manager, Production Editor, List Marketing Manager, etc.), Academic and Office services, Foundation Accountants, external service providers such as meeting venue contacts,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caterers, travel agents 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etc.</w:t>
            </w:r>
          </w:p>
        </w:tc>
      </w:tr>
      <w:tr w:rsidR="00CC010B" w:rsidRPr="00E96D4C" w:rsidTr="0041511B">
        <w:tc>
          <w:tcPr>
            <w:tcW w:w="10548" w:type="dxa"/>
            <w:gridSpan w:val="2"/>
          </w:tcPr>
          <w:p w:rsidR="00CC010B" w:rsidRPr="00E96D4C" w:rsidRDefault="00CC010B" w:rsidP="0041511B">
            <w:pP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E96D4C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Purpose of the job:</w:t>
            </w: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 xml:space="preserve">lead on </w:t>
            </w:r>
            <w:r w:rsidRPr="007404F5">
              <w:rPr>
                <w:rFonts w:asciiTheme="minorHAnsi" w:hAnsiTheme="minorHAnsi" w:cstheme="minorHAnsi"/>
              </w:rPr>
              <w:t>financial management</w:t>
            </w:r>
            <w:r>
              <w:rPr>
                <w:rFonts w:asciiTheme="minorHAnsi" w:hAnsiTheme="minorHAnsi" w:cstheme="minorHAnsi"/>
              </w:rPr>
              <w:t>/</w:t>
            </w:r>
            <w:r w:rsidRPr="007404F5">
              <w:rPr>
                <w:rFonts w:asciiTheme="minorHAnsi" w:hAnsiTheme="minorHAnsi" w:cstheme="minorHAnsi"/>
              </w:rPr>
              <w:t>control and office administration</w:t>
            </w:r>
            <w:r>
              <w:rPr>
                <w:rFonts w:asciiTheme="minorHAnsi" w:hAnsiTheme="minorHAnsi" w:cstheme="minorHAnsi"/>
              </w:rPr>
              <w:t xml:space="preserve"> functions of The New Phytologist Foundation’s Central Office. To support </w:t>
            </w:r>
            <w:r w:rsidRPr="00E96D4C">
              <w:rPr>
                <w:rFonts w:asciiTheme="minorHAnsi" w:hAnsiTheme="minorHAnsi" w:cstheme="minorHAnsi"/>
              </w:rPr>
              <w:t>the Executive Editor and Trustees</w:t>
            </w:r>
            <w:r>
              <w:rPr>
                <w:rFonts w:asciiTheme="minorHAnsi" w:hAnsiTheme="minorHAnsi" w:cstheme="minorHAnsi"/>
              </w:rPr>
              <w:t xml:space="preserve"> in meeting their objectives across the Foundation’s activities. </w:t>
            </w:r>
            <w:r w:rsidRPr="00E96D4C">
              <w:rPr>
                <w:rFonts w:asciiTheme="minorHAnsi" w:hAnsiTheme="minorHAnsi" w:cstheme="minorHAnsi"/>
              </w:rPr>
              <w:t xml:space="preserve">The role holder will </w:t>
            </w:r>
            <w:r w:rsidRPr="007404F5">
              <w:rPr>
                <w:rFonts w:asciiTheme="minorHAnsi" w:hAnsiTheme="minorHAnsi" w:cstheme="minorHAnsi"/>
              </w:rPr>
              <w:t xml:space="preserve">be responsible for the management and delivery of day-to-day </w:t>
            </w:r>
            <w:r>
              <w:rPr>
                <w:rFonts w:asciiTheme="minorHAnsi" w:hAnsiTheme="minorHAnsi" w:cstheme="minorHAnsi"/>
              </w:rPr>
              <w:t>financial and administrative operations.</w:t>
            </w:r>
          </w:p>
          <w:p w:rsidR="00CC010B" w:rsidRDefault="00CC010B" w:rsidP="0041511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C010B" w:rsidRPr="007404F5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404F5">
              <w:rPr>
                <w:rFonts w:asciiTheme="minorHAnsi" w:hAnsiTheme="minorHAnsi" w:cstheme="minorHAnsi"/>
                <w:color w:val="000000" w:themeColor="text1"/>
              </w:rPr>
              <w:t xml:space="preserve">On behalf of the budget holder (the Executive Editor) to manage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The New Phytologist </w:t>
            </w:r>
            <w:r w:rsidRPr="007404F5">
              <w:rPr>
                <w:rFonts w:asciiTheme="minorHAnsi" w:hAnsiTheme="minorHAnsi" w:cstheme="minorHAnsi"/>
                <w:color w:val="000000" w:themeColor="text1"/>
              </w:rPr>
              <w:t>Foundation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’s </w:t>
            </w:r>
            <w:r w:rsidRPr="007404F5">
              <w:rPr>
                <w:rFonts w:asciiTheme="minorHAnsi" w:hAnsiTheme="minorHAnsi" w:cstheme="minorHAnsi"/>
                <w:color w:val="000000" w:themeColor="text1"/>
              </w:rPr>
              <w:t>finances, including financial planning and forecasting, and the preparation of management information and reports.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The role holder will be responsible for </w:t>
            </w:r>
            <w:r w:rsidRPr="007404F5">
              <w:rPr>
                <w:rFonts w:asciiTheme="minorHAnsi" w:hAnsiTheme="minorHAnsi" w:cstheme="minorHAnsi"/>
                <w:color w:val="000000" w:themeColor="text1"/>
              </w:rPr>
              <w:t>the daily, monthly and quarterly administration of the New Phytologist Foundation finances, reporting to the Executive Editor and Treasurer and liais</w:t>
            </w:r>
            <w:r>
              <w:rPr>
                <w:rFonts w:asciiTheme="minorHAnsi" w:hAnsiTheme="minorHAnsi" w:cstheme="minorHAnsi"/>
                <w:color w:val="000000" w:themeColor="text1"/>
              </w:rPr>
              <w:t>ing</w:t>
            </w:r>
            <w:r w:rsidRPr="007404F5">
              <w:rPr>
                <w:rFonts w:asciiTheme="minorHAnsi" w:hAnsiTheme="minorHAnsi" w:cstheme="minorHAnsi"/>
                <w:color w:val="000000" w:themeColor="text1"/>
              </w:rPr>
              <w:t xml:space="preserve"> with the Foundation’s Accountant, </w:t>
            </w:r>
            <w:proofErr w:type="gramStart"/>
            <w:r w:rsidRPr="007404F5">
              <w:rPr>
                <w:rFonts w:asciiTheme="minorHAnsi" w:hAnsiTheme="minorHAnsi" w:cstheme="minorHAnsi"/>
                <w:color w:val="000000" w:themeColor="text1"/>
              </w:rPr>
              <w:t>bankers  and</w:t>
            </w:r>
            <w:proofErr w:type="gramEnd"/>
            <w:r w:rsidRPr="007404F5">
              <w:rPr>
                <w:rFonts w:asciiTheme="minorHAnsi" w:hAnsiTheme="minorHAnsi" w:cstheme="minorHAnsi"/>
                <w:color w:val="000000" w:themeColor="text1"/>
              </w:rPr>
              <w:t xml:space="preserve"> associated external contacts.  The development, maintenance and control of financial recording system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7404F5">
              <w:rPr>
                <w:rFonts w:asciiTheme="minorHAnsi" w:hAnsiTheme="minorHAnsi" w:cstheme="minorHAnsi"/>
                <w:color w:val="000000" w:themeColor="text1"/>
              </w:rPr>
              <w:t xml:space="preserve"> to facilitate: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>Quarterly reconciliation of all financial transactions associated with credit card expenditure, sterling and foreign currency accounts and credit card merchant accounts.</w:t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 xml:space="preserve">Preparation of material for quarterly VAT Return, involving liaison with Executive Editor, Treasurer and Foundation accountant for confirmation and submission.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CC010B" w:rsidRPr="00AF1106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</w:rPr>
            </w:pPr>
            <w:r w:rsidRPr="00AF1106">
              <w:rPr>
                <w:rFonts w:asciiTheme="minorHAnsi" w:hAnsiTheme="minorHAnsi" w:cstheme="minorHAnsi"/>
              </w:rPr>
              <w:t>Responsibility for Annual Planning and budgeting. This includes:</w:t>
            </w:r>
            <w:r w:rsidRPr="00AF1106">
              <w:rPr>
                <w:rFonts w:asciiTheme="minorHAnsi" w:hAnsiTheme="minorHAnsi" w:cstheme="minorHAnsi"/>
              </w:rPr>
              <w:br/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</w:rPr>
              <w:t>Budget setting in liaison with Executive Editor and Treasurer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</w:rPr>
              <w:t>Assisting the Executive Editor</w:t>
            </w:r>
            <w:r>
              <w:rPr>
                <w:rFonts w:asciiTheme="minorHAnsi" w:hAnsiTheme="minorHAnsi" w:cstheme="minorHAnsi"/>
              </w:rPr>
              <w:t xml:space="preserve"> and Trustees</w:t>
            </w:r>
            <w:r w:rsidRPr="00E96D4C">
              <w:rPr>
                <w:rFonts w:asciiTheme="minorHAnsi" w:hAnsiTheme="minorHAnsi" w:cstheme="minorHAnsi"/>
              </w:rPr>
              <w:t xml:space="preserve"> in the analysis of bu</w:t>
            </w:r>
            <w:r>
              <w:rPr>
                <w:rFonts w:asciiTheme="minorHAnsi" w:hAnsiTheme="minorHAnsi" w:cstheme="minorHAnsi"/>
              </w:rPr>
              <w:t xml:space="preserve">dgets by producing reports, quarterly and </w:t>
            </w:r>
            <w:r w:rsidRPr="00E96D4C">
              <w:rPr>
                <w:rFonts w:asciiTheme="minorHAnsi" w:hAnsiTheme="minorHAnsi" w:cstheme="minorHAnsi"/>
              </w:rPr>
              <w:t xml:space="preserve">monthly spreadsheets showing expenditure against budgets and providing the Executive Editor and Trustees with relevant information </w:t>
            </w:r>
            <w:r>
              <w:rPr>
                <w:rFonts w:asciiTheme="minorHAnsi" w:hAnsiTheme="minorHAnsi" w:cstheme="minorHAnsi"/>
              </w:rPr>
              <w:t xml:space="preserve">to account for and </w:t>
            </w:r>
            <w:proofErr w:type="gramStart"/>
            <w:r>
              <w:rPr>
                <w:rFonts w:asciiTheme="minorHAnsi" w:hAnsiTheme="minorHAnsi" w:cstheme="minorHAnsi"/>
              </w:rPr>
              <w:t xml:space="preserve">explain </w:t>
            </w:r>
            <w:r w:rsidRPr="00E96D4C">
              <w:rPr>
                <w:rFonts w:asciiTheme="minorHAnsi" w:hAnsiTheme="minorHAnsi" w:cstheme="minorHAnsi"/>
              </w:rPr>
              <w:t xml:space="preserve"> variances</w:t>
            </w:r>
            <w:proofErr w:type="gramEnd"/>
            <w:r w:rsidRPr="00E96D4C">
              <w:rPr>
                <w:rFonts w:asciiTheme="minorHAnsi" w:hAnsiTheme="minorHAnsi" w:cstheme="minorHAnsi"/>
              </w:rPr>
              <w:t xml:space="preserve"> in the operating budget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</w:rPr>
              <w:t xml:space="preserve">Provision of financial information for monitoring purposes </w:t>
            </w:r>
            <w:r>
              <w:rPr>
                <w:rFonts w:asciiTheme="minorHAnsi" w:hAnsiTheme="minorHAnsi" w:cstheme="minorHAnsi"/>
              </w:rPr>
              <w:t>suitable for presentation to professional and lay audiences;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</w:rPr>
              <w:t>Provision of monthly, quarterly and annual income &amp; expenditure reports</w:t>
            </w:r>
            <w:r>
              <w:rPr>
                <w:rFonts w:asciiTheme="minorHAnsi" w:hAnsiTheme="minorHAnsi" w:cstheme="minorHAnsi"/>
              </w:rPr>
              <w:t>, and development of associated reports, such as profit &amp; loss reports, and VAT associated reports</w:t>
            </w:r>
            <w:r w:rsidRPr="00E96D4C">
              <w:rPr>
                <w:rFonts w:asciiTheme="minorHAnsi" w:hAnsiTheme="minorHAnsi" w:cstheme="minorHAnsi"/>
              </w:rPr>
              <w:t>;</w:t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96D4C">
              <w:rPr>
                <w:rFonts w:asciiTheme="minorHAnsi" w:hAnsiTheme="minorHAnsi" w:cstheme="minorHAnsi"/>
              </w:rPr>
              <w:t xml:space="preserve"> Monthly, quarterly and end of financial year reconciliation. 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Preparation of integrated monthly cash flow, income and expenditure and balance sheet forecasts, ideally using Excel.</w:t>
            </w:r>
          </w:p>
          <w:p w:rsidR="00CC010B" w:rsidRPr="00AF1106" w:rsidRDefault="00CC010B" w:rsidP="004151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C010B" w:rsidRPr="00E96D4C" w:rsidRDefault="00CC010B" w:rsidP="0041511B">
            <w:pPr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C010B" w:rsidRPr="00AF1106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>Responsible for compiling financial documentation for the annual audit in accordance with the rules of the UK Charities Commission and UK Companies House.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>Responsible for ensuring that all financial activity is carried out efficiently and effectively and is properly authorized and to maintain a good understanding of current financial practice and a thorough knowledge of University financial policies and procedures.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>Raising and payment of all invoices and expense claims associated with the journals, Central Office, Foundation business and symposia.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CC010B" w:rsidRPr="00AF1106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>Responsibility for day-to-day operation, maintenance and development of specialized business online banking software, and online accounting system.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:rsidR="00CC010B" w:rsidRPr="00AF1106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</w:rPr>
            </w:pPr>
            <w:r w:rsidRPr="00AF1106">
              <w:rPr>
                <w:rFonts w:asciiTheme="minorHAnsi" w:hAnsiTheme="minorHAnsi" w:cstheme="minorHAnsi"/>
              </w:rPr>
              <w:t xml:space="preserve">Purchasing &amp; Staff </w:t>
            </w:r>
            <w:proofErr w:type="gramStart"/>
            <w:r w:rsidRPr="00AF1106">
              <w:rPr>
                <w:rFonts w:asciiTheme="minorHAnsi" w:hAnsiTheme="minorHAnsi" w:cstheme="minorHAnsi"/>
              </w:rPr>
              <w:t>expenses :</w:t>
            </w:r>
            <w:proofErr w:type="gramEnd"/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7404F5">
              <w:rPr>
                <w:rFonts w:asciiTheme="minorHAnsi" w:hAnsiTheme="minorHAnsi" w:cstheme="minorHAnsi"/>
              </w:rPr>
              <w:t>To approve and monitor departmental expenditure within defined parameters in line with the approved budget</w:t>
            </w:r>
            <w:r>
              <w:rPr>
                <w:rFonts w:asciiTheme="minorHAnsi" w:hAnsiTheme="minorHAnsi" w:cstheme="minorHAnsi"/>
              </w:rPr>
              <w:t>;</w:t>
            </w:r>
            <w:r w:rsidRPr="007404F5">
              <w:rPr>
                <w:rFonts w:asciiTheme="minorHAnsi" w:hAnsiTheme="minorHAnsi" w:cstheme="minorHAnsi"/>
              </w:rPr>
              <w:t xml:space="preserve"> </w:t>
            </w:r>
          </w:p>
          <w:p w:rsidR="00CC010B" w:rsidRPr="00AF1106" w:rsidRDefault="00CC010B" w:rsidP="00CC010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</w:rPr>
              <w:t>Liaising with University procurement services where necessary to ensure correct purchasing procedures are put in place.</w:t>
            </w:r>
            <w:r>
              <w:rPr>
                <w:rFonts w:asciiTheme="minorHAnsi" w:hAnsiTheme="minorHAnsi" w:cstheme="minorHAnsi"/>
              </w:rPr>
              <w:br/>
            </w:r>
          </w:p>
          <w:p w:rsidR="00CC010B" w:rsidRPr="00AF1106" w:rsidRDefault="00CC010B" w:rsidP="00CC010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 xml:space="preserve">Office administration. 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Acting as first point of contact for all telephone enquiries and visitors and to answer, wherever possible on own initiative, general queries received at Central Office.</w:t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Devising and maintaining office systems and processes.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>To be responsible for accurate record keeping of all data in accordance with the Data Protection Act and University processes.</w:t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Contribute to and attend journal and Foundation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meetings. D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uties may include taking minutes as well as organizing meeting venues, catering and travel for Central Office staff and Trustees.</w:t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F1106">
              <w:rPr>
                <w:rFonts w:asciiTheme="minorHAnsi" w:hAnsiTheme="minorHAnsi" w:cstheme="minorHAnsi"/>
                <w:color w:val="000000" w:themeColor="text1"/>
              </w:rPr>
              <w:t xml:space="preserve">Supporting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the Executive Editor and senior team </w:t>
            </w:r>
            <w:r w:rsidRPr="00AF1106">
              <w:rPr>
                <w:rFonts w:asciiTheme="minorHAnsi" w:hAnsiTheme="minorHAnsi" w:cstheme="minorHAnsi"/>
                <w:color w:val="000000" w:themeColor="text1"/>
              </w:rPr>
              <w:t xml:space="preserve">in relation to the recruitment, induction, development and support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of colleagues. </w:t>
            </w:r>
          </w:p>
          <w:p w:rsidR="00CC010B" w:rsidRPr="001323B8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323B8">
              <w:rPr>
                <w:rFonts w:asciiTheme="minorHAnsi" w:hAnsiTheme="minorHAnsi" w:cstheme="minorHAnsi"/>
                <w:color w:val="000000" w:themeColor="text1"/>
              </w:rPr>
              <w:t>To act as the point of contact for monitoring staff absences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1323B8">
              <w:rPr>
                <w:rFonts w:asciiTheme="minorHAnsi" w:hAnsiTheme="minorHAnsi" w:cstheme="minorHAnsi"/>
                <w:color w:val="000000" w:themeColor="text1"/>
              </w:rPr>
              <w:t xml:space="preserve"> holiday etc.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323B8">
              <w:rPr>
                <w:rFonts w:asciiTheme="minorHAnsi" w:hAnsiTheme="minorHAnsi" w:cstheme="minorHAnsi"/>
                <w:color w:val="000000" w:themeColor="text1"/>
              </w:rPr>
              <w:t>To ac</w:t>
            </w:r>
            <w:r>
              <w:rPr>
                <w:rFonts w:asciiTheme="minorHAnsi" w:hAnsiTheme="minorHAnsi" w:cstheme="minorHAnsi"/>
                <w:color w:val="000000" w:themeColor="text1"/>
              </w:rPr>
              <w:t>t as the point of contact</w:t>
            </w:r>
            <w:r w:rsidRPr="001323B8">
              <w:rPr>
                <w:rFonts w:asciiTheme="minorHAnsi" w:hAnsiTheme="minorHAnsi" w:cstheme="minorHAnsi"/>
                <w:color w:val="000000" w:themeColor="text1"/>
              </w:rPr>
              <w:t xml:space="preserve"> with regard to administrative matters, ensuring that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Central Office</w:t>
            </w:r>
            <w:r w:rsidRPr="001323B8">
              <w:rPr>
                <w:rFonts w:asciiTheme="minorHAnsi" w:hAnsiTheme="minorHAnsi" w:cstheme="minorHAnsi"/>
                <w:color w:val="000000" w:themeColor="text1"/>
              </w:rPr>
              <w:t xml:space="preserve"> complies with University policies and procedures.</w:t>
            </w:r>
          </w:p>
          <w:p w:rsidR="00CC010B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Organizing and distributing incoming and outgoing mail.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Liaising with university colleagues</w:t>
            </w:r>
            <w:r w:rsidRPr="00AF1106">
              <w:rPr>
                <w:rFonts w:asciiTheme="minorHAnsi" w:hAnsiTheme="minorHAnsi" w:cstheme="minorHAnsi"/>
                <w:color w:val="000000" w:themeColor="text1"/>
              </w:rPr>
              <w:t xml:space="preserve"> on building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issues, </w:t>
            </w:r>
            <w:r w:rsidRPr="00AF1106">
              <w:rPr>
                <w:rFonts w:asciiTheme="minorHAnsi" w:hAnsiTheme="minorHAnsi" w:cstheme="minorHAnsi"/>
                <w:color w:val="000000" w:themeColor="text1"/>
              </w:rPr>
              <w:t xml:space="preserve">space allocation, </w:t>
            </w:r>
            <w:r>
              <w:rPr>
                <w:rFonts w:asciiTheme="minorHAnsi" w:hAnsiTheme="minorHAnsi" w:cstheme="minorHAnsi"/>
                <w:color w:val="000000" w:themeColor="text1"/>
              </w:rPr>
              <w:t>workspace issues, etc.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To be responsible for purchasing office stationery and consumables via Lancaster University’s on-line procurement system or external suppliers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 xml:space="preserve"> and for the processing of petty cash claims with half-yearly reconciliations.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To provide general administrative assistance to the Executive Editor and Trustees as required. Including, but not limited to collation of journal-feedback comments; cleansing of Excel spread sheets, mail merge and mail shots</w:t>
            </w:r>
            <w:r>
              <w:rPr>
                <w:rFonts w:asciiTheme="minorHAnsi" w:hAnsiTheme="minorHAnsi" w:cstheme="minorHAnsi"/>
                <w:color w:val="000000" w:themeColor="text1"/>
              </w:rPr>
              <w:t>; ad-hoc Microsoft Excel spreads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heet and Word document work.</w:t>
            </w:r>
          </w:p>
          <w:p w:rsidR="00CC010B" w:rsidRPr="00E96D4C" w:rsidRDefault="00CC010B" w:rsidP="00CC010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To provide cover/assistance for other members of the office (e.g. peer review, general journal administration, etc.) as directed by the Executive Editor. The person should be able to manage their day-to-day work with minimal supervision and should exhibit a flexible attitude to their work.</w:t>
            </w: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96D4C">
              <w:rPr>
                <w:rFonts w:asciiTheme="minorHAnsi" w:hAnsiTheme="minorHAnsi" w:cstheme="minorHAnsi"/>
                <w:color w:val="000000" w:themeColor="text1"/>
              </w:rPr>
              <w:t>10. New Phytologist Symposia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Day-to-day symposia organization is managed and l</w:t>
            </w:r>
            <w:r>
              <w:rPr>
                <w:rFonts w:asciiTheme="minorHAnsi" w:hAnsiTheme="minorHAnsi" w:cstheme="minorHAnsi"/>
                <w:color w:val="000000" w:themeColor="text1"/>
              </w:rPr>
              <w:t>ed by the Events and Promotion Manager, h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owever, the role holder will assist in the Administration of delegate registrations for New Phytologist Symposia, including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>handling registration fee payments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 xml:space="preserve"> logging all transactions and dealing with general queries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Pr="00E96D4C">
              <w:rPr>
                <w:rFonts w:asciiTheme="minorHAnsi" w:hAnsiTheme="minorHAnsi" w:cstheme="minorHAnsi"/>
                <w:color w:val="000000" w:themeColor="text1"/>
              </w:rPr>
              <w:t xml:space="preserve"> and assisting registrants in resolving any problems with the registration process, either using own initiative or escalating to a colleague where appropriate. </w:t>
            </w:r>
          </w:p>
          <w:p w:rsidR="00CC010B" w:rsidRPr="00E96D4C" w:rsidRDefault="00CC010B" w:rsidP="004151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C010B" w:rsidRPr="00E96D4C" w:rsidRDefault="00CC010B" w:rsidP="00CC010B">
      <w:pPr>
        <w:rPr>
          <w:rFonts w:asciiTheme="minorHAnsi" w:hAnsiTheme="minorHAnsi" w:cstheme="minorHAnsi"/>
        </w:rPr>
      </w:pPr>
    </w:p>
    <w:p w:rsidR="00CC010B" w:rsidRPr="00E96D4C" w:rsidRDefault="00CC010B" w:rsidP="00CC010B">
      <w:pPr>
        <w:rPr>
          <w:rFonts w:asciiTheme="minorHAnsi" w:hAnsiTheme="minorHAnsi" w:cstheme="minorHAnsi"/>
        </w:rPr>
      </w:pPr>
    </w:p>
    <w:p w:rsidR="00CC010B" w:rsidRPr="00E96D4C" w:rsidRDefault="00CC010B" w:rsidP="00CC010B">
      <w:pPr>
        <w:rPr>
          <w:rFonts w:asciiTheme="minorHAnsi" w:hAnsiTheme="minorHAnsi" w:cstheme="minorHAnsi"/>
        </w:rPr>
      </w:pPr>
      <w:r w:rsidRPr="00E96D4C">
        <w:rPr>
          <w:rFonts w:asciiTheme="minorHAnsi" w:hAnsiTheme="minorHAnsi" w:cstheme="minorHAnsi"/>
        </w:rPr>
        <w:t> </w:t>
      </w:r>
    </w:p>
    <w:p w:rsidR="00CC010B" w:rsidRPr="00E96D4C" w:rsidRDefault="00CC010B" w:rsidP="00CC010B">
      <w:pPr>
        <w:rPr>
          <w:rFonts w:asciiTheme="minorHAnsi" w:hAnsiTheme="minorHAnsi" w:cstheme="minorHAnsi"/>
        </w:rPr>
      </w:pPr>
    </w:p>
    <w:p w:rsidR="00E0228D" w:rsidRDefault="00E0228D" w:rsidP="00CC010B">
      <w:pPr>
        <w:ind w:left="4641" w:right="4522"/>
        <w:jc w:val="center"/>
      </w:pPr>
    </w:p>
    <w:sectPr w:rsidR="00E0228D">
      <w:pgSz w:w="11920" w:h="16850"/>
      <w:pgMar w:top="68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66290"/>
    <w:multiLevelType w:val="hybridMultilevel"/>
    <w:tmpl w:val="3E442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01837"/>
    <w:multiLevelType w:val="hybridMultilevel"/>
    <w:tmpl w:val="AFB2C212"/>
    <w:lvl w:ilvl="0" w:tplc="960E37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98209B"/>
    <w:multiLevelType w:val="hybridMultilevel"/>
    <w:tmpl w:val="129C2B88"/>
    <w:lvl w:ilvl="0" w:tplc="6B587362">
      <w:start w:val="1"/>
      <w:numFmt w:val="decimal"/>
      <w:lvlText w:val="%1."/>
      <w:lvlJc w:val="left"/>
      <w:pPr>
        <w:ind w:left="234" w:hanging="2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B003BA">
      <w:numFmt w:val="bullet"/>
      <w:lvlText w:val=""/>
      <w:lvlJc w:val="left"/>
      <w:pPr>
        <w:ind w:left="95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5AEB7D0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3" w:tplc="2AA8E85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FCE453F8">
      <w:numFmt w:val="bullet"/>
      <w:lvlText w:val="•"/>
      <w:lvlJc w:val="left"/>
      <w:pPr>
        <w:ind w:left="4237" w:hanging="361"/>
      </w:pPr>
      <w:rPr>
        <w:rFonts w:hint="default"/>
        <w:lang w:val="en-US" w:eastAsia="en-US" w:bidi="ar-SA"/>
      </w:rPr>
    </w:lvl>
    <w:lvl w:ilvl="5" w:tplc="CF3E1A70"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6" w:tplc="7DEC3D96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ar-SA"/>
      </w:rPr>
    </w:lvl>
    <w:lvl w:ilvl="7" w:tplc="00946898"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 w:tplc="2846515E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964678A"/>
    <w:multiLevelType w:val="hybridMultilevel"/>
    <w:tmpl w:val="E5E6257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642EF"/>
    <w:multiLevelType w:val="hybridMultilevel"/>
    <w:tmpl w:val="2466B32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7B3F71"/>
    <w:multiLevelType w:val="hybridMultilevel"/>
    <w:tmpl w:val="3BEE79E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8D"/>
    <w:rsid w:val="0058264F"/>
    <w:rsid w:val="009C6461"/>
    <w:rsid w:val="00CC010B"/>
    <w:rsid w:val="00E0228D"/>
    <w:rsid w:val="00E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401B"/>
  <w15:docId w15:val="{1B973367-C213-488F-B61A-B380519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4"/>
      <w:jc w:val="both"/>
    </w:pPr>
  </w:style>
  <w:style w:type="paragraph" w:styleId="ListParagraph">
    <w:name w:val="List Paragraph"/>
    <w:basedOn w:val="Normal"/>
    <w:uiPriority w:val="34"/>
    <w:qFormat/>
    <w:pPr>
      <w:ind w:left="9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959C00BD6494BB2A874EE39FB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82E3-140D-49EA-B89A-BDC8AB37E635}"/>
      </w:docPartPr>
      <w:docPartBody>
        <w:p w:rsidR="00000000" w:rsidRDefault="00141DC3" w:rsidP="00141DC3">
          <w:pPr>
            <w:pStyle w:val="CA5959C00BD6494BB2A874EE39FB3F58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B024D4812BD4F34A724F32BF386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D39A-FD14-4F34-89E3-18E20F64CD4B}"/>
      </w:docPartPr>
      <w:docPartBody>
        <w:p w:rsidR="00000000" w:rsidRDefault="00141DC3" w:rsidP="00141DC3">
          <w:pPr>
            <w:pStyle w:val="4B024D4812BD4F34A724F32BF386D808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C3"/>
    <w:rsid w:val="001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DC3"/>
  </w:style>
  <w:style w:type="paragraph" w:customStyle="1" w:styleId="CA5959C00BD6494BB2A874EE39FB3F58">
    <w:name w:val="CA5959C00BD6494BB2A874EE39FB3F58"/>
    <w:rsid w:val="00141DC3"/>
  </w:style>
  <w:style w:type="paragraph" w:customStyle="1" w:styleId="4B024D4812BD4F34A724F32BF386D808">
    <w:name w:val="4B024D4812BD4F34A724F32BF386D808"/>
    <w:rsid w:val="00141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Lennon, Sarah</cp:lastModifiedBy>
  <cp:revision>2</cp:revision>
  <dcterms:created xsi:type="dcterms:W3CDTF">2023-01-18T14:53:00Z</dcterms:created>
  <dcterms:modified xsi:type="dcterms:W3CDTF">2023-01-18T14:53:00Z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2016</vt:lpwstr>
  </property>
</Properties>
</file>